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6725D6">
      <w:pPr>
        <w:ind w:firstLine="2521" w:firstLineChars="300"/>
        <w:rPr>
          <w:rFonts w:hint="eastAsia" w:ascii="微软雅黑" w:hAnsi="微软雅黑" w:eastAsia="微软雅黑"/>
          <w:b/>
          <w:color w:val="666666"/>
          <w:sz w:val="84"/>
          <w:szCs w:val="84"/>
          <w:shd w:val="clear" w:color="auto" w:fill="FFFFFF"/>
        </w:rPr>
      </w:pPr>
      <w:bookmarkStart w:id="0" w:name="_GoBack"/>
      <w:bookmarkEnd w:id="0"/>
    </w:p>
    <w:p w14:paraId="322C6FF5">
      <w:pPr>
        <w:jc w:val="center"/>
        <w:rPr>
          <w:rFonts w:hint="default" w:ascii="微软雅黑" w:hAnsi="微软雅黑" w:eastAsia="微软雅黑"/>
          <w:b/>
          <w:color w:val="666666"/>
          <w:sz w:val="84"/>
          <w:szCs w:val="84"/>
          <w:shd w:val="clear" w:color="auto" w:fill="FFFFFF"/>
          <w:lang w:val="en-US" w:eastAsia="zh-CN"/>
        </w:rPr>
      </w:pPr>
      <w:r>
        <w:rPr>
          <w:rFonts w:hint="eastAsia" w:ascii="Times New Roman" w:hAnsi="微软雅黑" w:eastAsia="微软雅黑" w:cstheme="minorBidi"/>
          <w:b/>
          <w:color w:val="666666"/>
          <w:kern w:val="2"/>
          <w:sz w:val="84"/>
          <w:szCs w:val="84"/>
          <w:shd w:val="clear" w:color="auto" w:fill="FFFFFF"/>
          <w:lang w:val="en-US" w:eastAsia="zh-CN" w:bidi="ar-SA"/>
        </w:rPr>
        <w:t>Linear Gate</w:t>
      </w:r>
      <w:r>
        <w:rPr>
          <w:rFonts w:hint="default" w:ascii="微软雅黑" w:hAnsi="微软雅黑" w:eastAsia="微软雅黑"/>
          <w:b/>
          <w:color w:val="666666"/>
          <w:sz w:val="84"/>
          <w:szCs w:val="84"/>
          <w:shd w:val="clear" w:color="auto" w:fill="FFFFFF"/>
          <w:lang w:val="en-US" w:eastAsia="zh-CN"/>
        </w:rPr>
        <w:drawing>
          <wp:inline distT="0" distB="0" distL="114300" distR="114300">
            <wp:extent cx="6429375" cy="4322445"/>
            <wp:effectExtent l="0" t="0" r="0" b="0"/>
            <wp:docPr id="3" name="图片 3" descr="E:/科迈思智能/报价单/KeyShot 5/Renderings/产品图2026/平移闸/KMS-P3721/KMS-P3721.960.pngKMS-P3721.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平移闸/KMS-P3721/KMS-P3721.960.pngKMS-P3721.960"/>
                    <pic:cNvPicPr>
                      <a:picLocks noChangeAspect="1"/>
                    </pic:cNvPicPr>
                  </pic:nvPicPr>
                  <pic:blipFill>
                    <a:blip r:embed="rId5"/>
                    <a:srcRect l="7544" t="26186" r="4540" b="14711"/>
                    <a:stretch>
                      <a:fillRect/>
                    </a:stretch>
                  </pic:blipFill>
                  <pic:spPr>
                    <a:xfrm>
                      <a:off x="0" y="0"/>
                      <a:ext cx="6429375" cy="4322445"/>
                    </a:xfrm>
                    <a:prstGeom prst="rect">
                      <a:avLst/>
                    </a:prstGeom>
                  </pic:spPr>
                </pic:pic>
              </a:graphicData>
            </a:graphic>
          </wp:inline>
        </w:drawing>
      </w:r>
    </w:p>
    <w:p w14:paraId="28289B71">
      <w:pPr>
        <w:jc w:val="center"/>
        <w:rPr>
          <w:rFonts w:hint="default" w:ascii="微软雅黑" w:hAnsi="微软雅黑" w:eastAsia="微软雅黑"/>
          <w:b/>
          <w:color w:val="666666"/>
          <w:sz w:val="52"/>
          <w:szCs w:val="52"/>
          <w:shd w:val="clear" w:color="auto" w:fill="FFFFFF"/>
          <w:lang w:val="en-US" w:eastAsia="zh-CN"/>
        </w:rPr>
      </w:pPr>
    </w:p>
    <w:p w14:paraId="3B13DD71">
      <w:pPr>
        <w:ind w:firstLine="480" w:firstLineChars="20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Description: The KMS-P3721 sliding gate is a high-tech product designed for intelligent management of personnel access channels, representing an upgraded version of the smart three-roll barrier. Featuring precision engineering, comprehensive functionality, and premium quality, it is primarily used in upscale residential communities, smart buildings, hotels, subway systems, ports, clubs, and other high-end venues. This equipment seamlessly integrates mechanical, electronic, and microprocessor controls with various identity recognition technologies, supporting compatibility with IC cards, ID cards, barcode cards, fingerprint scanners, and other card readers. By incorporating optional identity verification systems along with reliable security protection devices, alarm mechanisms, and directional indicators, it enables coordinated intelligent control and management of access channels.</w:t>
      </w:r>
    </w:p>
    <w:p w14:paraId="577468C5">
      <w:pPr>
        <w:jc w:val="center"/>
        <w:rPr>
          <w:rFonts w:ascii="微软雅黑" w:hAnsi="微软雅黑" w:eastAsia="微软雅黑"/>
          <w:color w:val="666666"/>
          <w:sz w:val="24"/>
          <w:szCs w:val="24"/>
          <w:shd w:val="clear" w:color="auto" w:fill="FFFFFF"/>
        </w:rPr>
      </w:pPr>
    </w:p>
    <w:p w14:paraId="527B2017">
      <w:pPr>
        <w:spacing w:line="360" w:lineRule="auto"/>
        <w:jc w:val="left"/>
        <w:rPr>
          <w:rFonts w:ascii="黑体" w:hAnsi="黑体" w:eastAsia="黑体" w:cs="Tahoma"/>
          <w:b/>
          <w:bCs/>
          <w:color w:val="333333"/>
          <w:sz w:val="36"/>
          <w:szCs w:val="36"/>
        </w:rPr>
      </w:pPr>
    </w:p>
    <w:p w14:paraId="7786EEB0">
      <w:pPr>
        <w:spacing w:line="360" w:lineRule="auto"/>
        <w:ind w:firstLine="360" w:firstLineChars="100"/>
        <w:jc w:val="left"/>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technical parameter ：</w:t>
      </w:r>
    </w:p>
    <w:tbl>
      <w:tblPr>
        <w:tblStyle w:val="6"/>
        <w:tblpPr w:leftFromText="180" w:rightFromText="180" w:vertAnchor="text" w:horzAnchor="page" w:tblpX="1395" w:tblpY="540"/>
        <w:tblOverlap w:val="never"/>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951"/>
        <w:gridCol w:w="7314"/>
      </w:tblGrid>
      <w:tr w14:paraId="719292F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4EBDBF72">
            <w:pPr>
              <w:jc w:val="center"/>
              <w:rPr>
                <w:rFonts w:hint="default" w:ascii="微软雅黑" w:hAnsi="微软雅黑" w:eastAsia="微软雅黑"/>
                <w:b/>
                <w:color w:val="666666"/>
                <w:sz w:val="22"/>
                <w:shd w:val="clear" w:color="auto" w:fill="FFFFFF"/>
                <w:lang w:val="en-US" w:eastAsia="zh-CN"/>
              </w:rPr>
            </w:pPr>
            <w:r>
              <w:rPr>
                <w:rFonts w:hint="eastAsia" w:ascii="Times New Roman" w:hAnsi="微软雅黑" w:eastAsia="微软雅黑" w:cstheme="minorBidi"/>
                <w:b/>
                <w:color w:val="666666"/>
                <w:kern w:val="2"/>
                <w:sz w:val="22"/>
                <w:szCs w:val="22"/>
                <w:shd w:val="clear" w:color="auto" w:fill="FFFFFF"/>
                <w:lang w:val="en-US" w:eastAsia="zh-CN" w:bidi="ar-SA"/>
              </w:rPr>
              <w:t>product model</w:t>
            </w:r>
          </w:p>
        </w:tc>
        <w:tc>
          <w:tcPr>
            <w:tcW w:w="7314" w:type="dxa"/>
          </w:tcPr>
          <w:p w14:paraId="09D44815">
            <w:pPr>
              <w:jc w:val="center"/>
              <w:rPr>
                <w:rFonts w:hint="default" w:ascii="微软雅黑" w:hAnsi="微软雅黑" w:eastAsia="微软雅黑"/>
                <w:b/>
                <w:color w:val="666666"/>
                <w:sz w:val="22"/>
                <w:shd w:val="clear" w:color="auto" w:fill="FFFFFF"/>
                <w:lang w:val="en-US" w:eastAsia="zh-CN"/>
              </w:rPr>
            </w:pPr>
            <w:r>
              <w:rPr>
                <w:rFonts w:hint="eastAsia" w:ascii="Times New Roman" w:hAnsi="微软雅黑" w:eastAsia="微软雅黑" w:cstheme="minorBidi"/>
                <w:b/>
                <w:color w:val="666666"/>
                <w:kern w:val="2"/>
                <w:sz w:val="22"/>
                <w:szCs w:val="22"/>
                <w:shd w:val="clear" w:color="auto" w:fill="FFFFFF"/>
                <w:lang w:val="en-US" w:eastAsia="zh-CN" w:bidi="ar-SA"/>
              </w:rPr>
              <w:t>KMS-P3721</w:t>
            </w:r>
          </w:p>
        </w:tc>
      </w:tr>
      <w:tr w14:paraId="7F60013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shd w:val="clear" w:color="auto" w:fill="auto"/>
            <w:vAlign w:val="top"/>
          </w:tcPr>
          <w:p w14:paraId="22C3F981">
            <w:pPr>
              <w:jc w:val="center"/>
              <w:rPr>
                <w:rFonts w:hint="eastAsia" w:ascii="微软雅黑" w:hAnsi="微软雅黑" w:eastAsia="微软雅黑" w:cstheme="minorBidi"/>
                <w:b/>
                <w:color w:val="666666"/>
                <w:kern w:val="2"/>
                <w:sz w:val="22"/>
                <w:szCs w:val="22"/>
                <w:shd w:val="clear" w:color="auto" w:fill="FFFFFF"/>
                <w:lang w:val="en-US" w:eastAsia="zh-CN" w:bidi="ar-SA"/>
              </w:rPr>
            </w:pPr>
            <w:r>
              <w:rPr>
                <w:rFonts w:hint="eastAsia" w:ascii="Times New Roman" w:hAnsi="微软雅黑" w:eastAsia="微软雅黑" w:cstheme="minorBidi"/>
                <w:b/>
                <w:color w:val="666666"/>
                <w:kern w:val="2"/>
                <w:sz w:val="22"/>
                <w:szCs w:val="22"/>
                <w:shd w:val="clear" w:color="auto" w:fill="FFFFFF"/>
                <w:lang w:val="en-US" w:eastAsia="zh-CN" w:bidi="ar-SA"/>
              </w:rPr>
              <w:t>Case material</w:t>
            </w:r>
          </w:p>
        </w:tc>
        <w:tc>
          <w:tcPr>
            <w:tcW w:w="7314" w:type="dxa"/>
            <w:shd w:val="clear" w:color="auto" w:fill="auto"/>
            <w:vAlign w:val="top"/>
          </w:tcPr>
          <w:p w14:paraId="38FCD871">
            <w:pPr>
              <w:jc w:val="center"/>
              <w:rPr>
                <w:rFonts w:hint="eastAsia" w:ascii="微软雅黑" w:hAnsi="微软雅黑" w:eastAsia="微软雅黑" w:cstheme="minorBidi"/>
                <w:b/>
                <w:color w:val="666666"/>
                <w:kern w:val="2"/>
                <w:sz w:val="22"/>
                <w:szCs w:val="22"/>
                <w:shd w:val="clear" w:color="auto" w:fill="FFFFFF"/>
                <w:lang w:val="en-US" w:eastAsia="zh-CN" w:bidi="ar-SA"/>
              </w:rPr>
            </w:pPr>
            <w:r>
              <w:rPr>
                <w:rFonts w:hint="eastAsia" w:ascii="Times New Roman" w:hAnsi="微软雅黑" w:eastAsia="微软雅黑" w:cstheme="minorBidi"/>
                <w:b/>
                <w:color w:val="666666"/>
                <w:kern w:val="2"/>
                <w:sz w:val="22"/>
                <w:szCs w:val="22"/>
                <w:shd w:val="clear" w:color="auto" w:fill="FFFFFF"/>
                <w:lang w:val="en-US" w:eastAsia="zh-CN" w:bidi="ar-SA"/>
              </w:rPr>
              <w:t>304 stainless steel/201 stainless steel with baked paint finish; lid thickness: 1.5 mm; body thickness: 1.2 mm</w:t>
            </w:r>
          </w:p>
        </w:tc>
      </w:tr>
      <w:tr w14:paraId="73AC6C5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3398959C">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Standard chassis dimensions</w:t>
            </w:r>
          </w:p>
        </w:tc>
        <w:tc>
          <w:tcPr>
            <w:tcW w:w="7314" w:type="dxa"/>
          </w:tcPr>
          <w:p w14:paraId="2DC17380">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3740*800*2400mm</w:t>
            </w:r>
          </w:p>
        </w:tc>
      </w:tr>
      <w:tr w14:paraId="007E9E7D">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4F15911E">
            <w:pPr>
              <w:jc w:val="center"/>
              <w:rPr>
                <w:rFonts w:hint="default" w:ascii="微软雅黑" w:hAnsi="微软雅黑" w:eastAsia="微软雅黑"/>
                <w:b/>
                <w:color w:val="666666"/>
                <w:sz w:val="22"/>
                <w:shd w:val="clear" w:color="auto" w:fill="FFFFFF"/>
                <w:lang w:val="en-US" w:eastAsia="zh-CN"/>
              </w:rPr>
            </w:pPr>
            <w:r>
              <w:rPr>
                <w:rFonts w:hint="eastAsia" w:ascii="Times New Roman" w:hAnsi="微软雅黑" w:eastAsia="微软雅黑" w:cstheme="minorBidi"/>
                <w:b/>
                <w:color w:val="666666"/>
                <w:kern w:val="2"/>
                <w:sz w:val="22"/>
                <w:szCs w:val="22"/>
                <w:shd w:val="clear" w:color="auto" w:fill="FFFFFF"/>
                <w:lang w:val="en-US" w:eastAsia="zh-CN" w:bidi="ar-SA"/>
              </w:rPr>
              <w:t>infrared</w:t>
            </w:r>
          </w:p>
        </w:tc>
        <w:tc>
          <w:tcPr>
            <w:tcW w:w="7314" w:type="dxa"/>
          </w:tcPr>
          <w:p w14:paraId="7BC6A88B">
            <w:pPr>
              <w:jc w:val="center"/>
              <w:rPr>
                <w:rFonts w:hint="default" w:ascii="微软雅黑" w:hAnsi="微软雅黑" w:eastAsia="微软雅黑"/>
                <w:b/>
                <w:color w:val="666666"/>
                <w:sz w:val="22"/>
                <w:shd w:val="clear" w:color="auto" w:fill="FFFFFF"/>
                <w:lang w:val="en-US" w:eastAsia="zh-CN"/>
              </w:rPr>
            </w:pPr>
            <w:r>
              <w:rPr>
                <w:rFonts w:hint="eastAsia" w:ascii="Times New Roman" w:hAnsi="微软雅黑" w:eastAsia="微软雅黑" w:cstheme="minorBidi"/>
                <w:b/>
                <w:color w:val="666666"/>
                <w:kern w:val="2"/>
                <w:sz w:val="22"/>
                <w:szCs w:val="22"/>
                <w:shd w:val="clear" w:color="auto" w:fill="FFFFFF"/>
                <w:lang w:val="en-US" w:eastAsia="zh-CN" w:bidi="ar-SA"/>
              </w:rPr>
              <w:t>6 pairs (Brand: Jietek)</w:t>
            </w:r>
          </w:p>
        </w:tc>
      </w:tr>
      <w:tr w14:paraId="1281681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082E4D99">
            <w:pPr>
              <w:jc w:val="center"/>
              <w:rPr>
                <w:rFonts w:hint="default" w:ascii="微软雅黑" w:hAnsi="微软雅黑" w:eastAsia="微软雅黑"/>
                <w:b/>
                <w:color w:val="666666"/>
                <w:sz w:val="22"/>
                <w:shd w:val="clear" w:color="auto" w:fill="FFFFFF"/>
                <w:lang w:val="en-US" w:eastAsia="zh-CN"/>
              </w:rPr>
            </w:pPr>
            <w:r>
              <w:rPr>
                <w:rFonts w:hint="eastAsia" w:ascii="Times New Roman" w:hAnsi="微软雅黑" w:eastAsia="微软雅黑" w:cstheme="minorBidi"/>
                <w:b/>
                <w:color w:val="666666"/>
                <w:kern w:val="2"/>
                <w:sz w:val="22"/>
                <w:szCs w:val="22"/>
                <w:shd w:val="clear" w:color="auto" w:fill="FFFFFF"/>
                <w:lang w:val="en-US" w:eastAsia="zh-CN" w:bidi="ar-SA"/>
              </w:rPr>
              <w:t>source</w:t>
            </w:r>
          </w:p>
        </w:tc>
        <w:tc>
          <w:tcPr>
            <w:tcW w:w="7314" w:type="dxa"/>
          </w:tcPr>
          <w:p w14:paraId="46183B5F">
            <w:pPr>
              <w:jc w:val="center"/>
              <w:rPr>
                <w:rFonts w:hint="eastAsia" w:ascii="微软雅黑" w:hAnsi="微软雅黑" w:eastAsia="微软雅黑"/>
                <w:b/>
                <w:color w:val="666666"/>
                <w:sz w:val="22"/>
                <w:shd w:val="clear" w:color="auto" w:fill="FFFFFF"/>
              </w:rPr>
            </w:pPr>
            <w:r>
              <w:rPr>
                <w:rFonts w:hint="eastAsia" w:ascii="Times New Roman" w:hAnsi="微软雅黑" w:eastAsia="微软雅黑" w:cstheme="minorBidi"/>
                <w:b/>
                <w:color w:val="666666"/>
                <w:kern w:val="2"/>
                <w:sz w:val="22"/>
                <w:szCs w:val="22"/>
                <w:shd w:val="clear" w:color="auto" w:fill="FFFFFF"/>
                <w:lang w:val="en-US" w:eastAsia="zh-CN" w:bidi="ar-SA"/>
              </w:rPr>
              <w:t>24V 8.5A (Brand: Mingwei)</w:t>
            </w:r>
          </w:p>
        </w:tc>
      </w:tr>
      <w:tr w14:paraId="1E049FD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2BE07A9A">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gangway width</w:t>
            </w:r>
          </w:p>
        </w:tc>
        <w:tc>
          <w:tcPr>
            <w:tcW w:w="7314" w:type="dxa"/>
          </w:tcPr>
          <w:p w14:paraId="1CDFCBA0">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550–1000 mm (double-sided)</w:t>
            </w:r>
          </w:p>
        </w:tc>
      </w:tr>
      <w:tr w14:paraId="61F305A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26AE28B5">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Arm swing material</w:t>
            </w:r>
          </w:p>
        </w:tc>
        <w:tc>
          <w:tcPr>
            <w:tcW w:w="7314" w:type="dxa"/>
          </w:tcPr>
          <w:p w14:paraId="450BC2A1">
            <w:pPr>
              <w:jc w:val="center"/>
              <w:rPr>
                <w:rFonts w:ascii="微软雅黑" w:hAnsi="微软雅黑" w:eastAsia="微软雅黑"/>
                <w:b/>
                <w:color w:val="666666"/>
                <w:sz w:val="22"/>
                <w:shd w:val="clear" w:color="auto" w:fill="FFFFFF"/>
              </w:rPr>
            </w:pPr>
            <w:r>
              <w:rPr>
                <w:rFonts w:hint="eastAsia" w:ascii="Times New Roman" w:hAnsi="微软雅黑" w:eastAsia="微软雅黑" w:cstheme="minorBidi"/>
                <w:b/>
                <w:color w:val="666666"/>
                <w:kern w:val="2"/>
                <w:sz w:val="22"/>
                <w:szCs w:val="22"/>
                <w:shd w:val="clear" w:color="auto" w:fill="FFFFFF"/>
                <w:lang w:val="en-US" w:eastAsia="zh-CN" w:bidi="ar-SA"/>
              </w:rPr>
              <w:t>Acrylic swing door</w:t>
            </w:r>
          </w:p>
        </w:tc>
      </w:tr>
      <w:tr w14:paraId="60E5E33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10130F05">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working voltage</w:t>
            </w:r>
          </w:p>
        </w:tc>
        <w:tc>
          <w:tcPr>
            <w:tcW w:w="7314" w:type="dxa"/>
          </w:tcPr>
          <w:p w14:paraId="18CFBCAD">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AC220V±10%/50HZ</w:t>
            </w:r>
          </w:p>
        </w:tc>
      </w:tr>
      <w:tr w14:paraId="3E4DD68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2809EBF0">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Drive Motor</w:t>
            </w:r>
          </w:p>
        </w:tc>
        <w:tc>
          <w:tcPr>
            <w:tcW w:w="7314" w:type="dxa"/>
          </w:tcPr>
          <w:p w14:paraId="2438B58E">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24V brushless DC motor (Brand: Lianyi)</w:t>
            </w:r>
          </w:p>
        </w:tc>
      </w:tr>
      <w:tr w14:paraId="0C37A53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36131E98">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Passage Speed</w:t>
            </w:r>
          </w:p>
        </w:tc>
        <w:tc>
          <w:tcPr>
            <w:tcW w:w="7314" w:type="dxa"/>
          </w:tcPr>
          <w:p w14:paraId="4C0C9AEC">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20–30 people per minute</w:t>
            </w:r>
          </w:p>
        </w:tc>
      </w:tr>
      <w:tr w14:paraId="3757344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55231B7D">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end-use temperature</w:t>
            </w:r>
          </w:p>
        </w:tc>
        <w:tc>
          <w:tcPr>
            <w:tcW w:w="7314" w:type="dxa"/>
          </w:tcPr>
          <w:p w14:paraId="282F4243">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-10°C to 70°C; Relative humidity: ≤90%; No condensation</w:t>
            </w:r>
          </w:p>
        </w:tc>
      </w:tr>
      <w:tr w14:paraId="37F92A6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642D597E">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Input Interface</w:t>
            </w:r>
          </w:p>
        </w:tc>
        <w:tc>
          <w:tcPr>
            <w:tcW w:w="7314" w:type="dxa"/>
          </w:tcPr>
          <w:p w14:paraId="3C37EA2A">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Relay dry contact signal or a 12V pulse signal with a pulse width ≥100 ms</w:t>
            </w:r>
          </w:p>
        </w:tc>
      </w:tr>
      <w:tr w14:paraId="1D43FF3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51" w:type="dxa"/>
          </w:tcPr>
          <w:p w14:paraId="54188727">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CI</w:t>
            </w:r>
          </w:p>
        </w:tc>
        <w:tc>
          <w:tcPr>
            <w:tcW w:w="7314" w:type="dxa"/>
          </w:tcPr>
          <w:p w14:paraId="1715E925">
            <w:pPr>
              <w:jc w:val="center"/>
              <w:rPr>
                <w:rFonts w:hint="eastAsia" w:ascii="微软雅黑" w:hAnsi="微软雅黑" w:eastAsia="微软雅黑"/>
                <w:b/>
                <w:color w:val="666666"/>
                <w:sz w:val="22"/>
                <w:shd w:val="clear" w:color="auto" w:fill="FFFFFF"/>
                <w:lang w:eastAsia="zh-CN"/>
              </w:rPr>
            </w:pPr>
            <w:r>
              <w:rPr>
                <w:rFonts w:hint="eastAsia" w:ascii="Times New Roman" w:hAnsi="微软雅黑" w:eastAsia="微软雅黑" w:cstheme="minorBidi"/>
                <w:b/>
                <w:color w:val="666666"/>
                <w:kern w:val="2"/>
                <w:sz w:val="22"/>
                <w:szCs w:val="22"/>
                <w:shd w:val="clear" w:color="auto" w:fill="FFFFFF"/>
                <w:lang w:val="en-US" w:eastAsia="zh-CN" w:bidi="ar-SA"/>
              </w:rPr>
              <w:t>RS485 standard: Distance ≤300 meters</w:t>
            </w:r>
          </w:p>
        </w:tc>
      </w:tr>
    </w:tbl>
    <w:p w14:paraId="4BFB2AD4">
      <w:pPr>
        <w:spacing w:line="360" w:lineRule="auto"/>
        <w:jc w:val="left"/>
        <w:rPr>
          <w:rFonts w:ascii="Tahoma" w:hAnsi="Tahoma" w:eastAsia="宋体" w:cs="Tahoma"/>
          <w:color w:val="333333"/>
          <w:sz w:val="30"/>
          <w:szCs w:val="30"/>
        </w:rPr>
      </w:pPr>
    </w:p>
    <w:p w14:paraId="65102658">
      <w:pPr>
        <w:rPr>
          <w:rFonts w:ascii="微软雅黑" w:hAnsi="微软雅黑" w:eastAsia="微软雅黑"/>
          <w:color w:val="666666"/>
          <w:sz w:val="24"/>
          <w:szCs w:val="24"/>
          <w:shd w:val="clear" w:color="auto" w:fill="FFFFFF"/>
        </w:rPr>
      </w:pPr>
    </w:p>
    <w:p w14:paraId="087F6232">
      <w:pPr>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w:t>
      </w:r>
    </w:p>
    <w:p w14:paraId="46185D20">
      <w:pPr>
        <w:rPr>
          <w:rFonts w:hint="eastAsia" w:ascii="微软雅黑" w:hAnsi="微软雅黑" w:eastAsia="微软雅黑"/>
          <w:color w:val="666666"/>
          <w:sz w:val="24"/>
          <w:szCs w:val="24"/>
          <w:shd w:val="clear" w:color="auto" w:fill="FFFFFF"/>
        </w:rPr>
      </w:pPr>
    </w:p>
    <w:p w14:paraId="75BAAAED">
      <w:pPr>
        <w:rPr>
          <w:rFonts w:hint="eastAsia" w:ascii="微软雅黑" w:hAnsi="微软雅黑" w:eastAsia="微软雅黑"/>
          <w:color w:val="666666"/>
          <w:sz w:val="24"/>
          <w:szCs w:val="24"/>
          <w:shd w:val="clear" w:color="auto" w:fill="FFFFFF"/>
        </w:rPr>
      </w:pPr>
    </w:p>
    <w:p w14:paraId="0AAD080E">
      <w:pPr>
        <w:rPr>
          <w:rFonts w:hint="eastAsia" w:ascii="微软雅黑" w:hAnsi="微软雅黑" w:eastAsia="微软雅黑"/>
          <w:color w:val="666666"/>
          <w:sz w:val="24"/>
          <w:szCs w:val="24"/>
          <w:shd w:val="clear" w:color="auto" w:fill="FFFFFF"/>
        </w:rPr>
      </w:pPr>
    </w:p>
    <w:p w14:paraId="7D4E2A11">
      <w:pPr>
        <w:rPr>
          <w:rFonts w:hint="eastAsia" w:ascii="微软雅黑" w:hAnsi="微软雅黑" w:eastAsia="微软雅黑"/>
          <w:color w:val="666666"/>
          <w:sz w:val="24"/>
          <w:szCs w:val="24"/>
          <w:shd w:val="clear" w:color="auto" w:fill="FFFFFF"/>
        </w:rPr>
      </w:pPr>
    </w:p>
    <w:p w14:paraId="08E52A63">
      <w:pPr>
        <w:rPr>
          <w:rFonts w:hint="eastAsia" w:ascii="微软雅黑" w:hAnsi="微软雅黑" w:eastAsia="微软雅黑"/>
          <w:color w:val="666666"/>
          <w:sz w:val="24"/>
          <w:szCs w:val="24"/>
          <w:shd w:val="clear" w:color="auto" w:fill="FFFFFF"/>
        </w:rPr>
      </w:pPr>
    </w:p>
    <w:p w14:paraId="14DAC6F4">
      <w:pPr>
        <w:rPr>
          <w:rFonts w:hint="eastAsia" w:ascii="微软雅黑" w:hAnsi="微软雅黑" w:eastAsia="微软雅黑"/>
          <w:color w:val="666666"/>
          <w:sz w:val="24"/>
          <w:szCs w:val="24"/>
          <w:shd w:val="clear" w:color="auto" w:fill="FFFFFF"/>
        </w:rPr>
      </w:pPr>
    </w:p>
    <w:p w14:paraId="65A0D83A">
      <w:pPr>
        <w:rPr>
          <w:rFonts w:hint="eastAsia" w:ascii="微软雅黑" w:hAnsi="微软雅黑" w:eastAsia="微软雅黑"/>
          <w:color w:val="666666"/>
          <w:sz w:val="24"/>
          <w:szCs w:val="24"/>
          <w:shd w:val="clear" w:color="auto" w:fill="FFFFFF"/>
        </w:rPr>
      </w:pPr>
    </w:p>
    <w:p w14:paraId="00FF5C0A">
      <w:pPr>
        <w:rPr>
          <w:rFonts w:hint="eastAsia" w:ascii="微软雅黑" w:hAnsi="微软雅黑" w:eastAsia="微软雅黑"/>
          <w:color w:val="666666"/>
          <w:sz w:val="24"/>
          <w:szCs w:val="24"/>
          <w:shd w:val="clear" w:color="auto" w:fill="FFFFFF"/>
        </w:rPr>
      </w:pPr>
    </w:p>
    <w:p w14:paraId="704BF061">
      <w:pPr>
        <w:rPr>
          <w:rFonts w:hint="eastAsia" w:ascii="微软雅黑" w:hAnsi="微软雅黑" w:eastAsia="微软雅黑"/>
          <w:color w:val="666666"/>
          <w:sz w:val="24"/>
          <w:szCs w:val="24"/>
          <w:shd w:val="clear" w:color="auto" w:fill="FFFFFF"/>
        </w:rPr>
      </w:pPr>
    </w:p>
    <w:p w14:paraId="5E438FC7">
      <w:pPr>
        <w:rPr>
          <w:rFonts w:hint="eastAsia" w:ascii="微软雅黑" w:hAnsi="微软雅黑" w:eastAsia="微软雅黑"/>
          <w:color w:val="666666"/>
          <w:sz w:val="24"/>
          <w:szCs w:val="24"/>
          <w:shd w:val="clear" w:color="auto" w:fill="FFFFFF"/>
        </w:rPr>
      </w:pPr>
    </w:p>
    <w:p w14:paraId="26AB4E55">
      <w:pPr>
        <w:rPr>
          <w:rFonts w:hint="eastAsia" w:ascii="微软雅黑" w:hAnsi="微软雅黑" w:eastAsia="微软雅黑"/>
          <w:color w:val="666666"/>
          <w:sz w:val="24"/>
          <w:szCs w:val="24"/>
          <w:shd w:val="clear" w:color="auto" w:fill="FFFFFF"/>
        </w:rPr>
      </w:pPr>
    </w:p>
    <w:p w14:paraId="101AD58B">
      <w:pPr>
        <w:rPr>
          <w:rFonts w:hint="eastAsia" w:ascii="微软雅黑" w:hAnsi="微软雅黑" w:eastAsia="微软雅黑"/>
          <w:color w:val="666666"/>
          <w:sz w:val="24"/>
          <w:szCs w:val="24"/>
          <w:shd w:val="clear" w:color="auto" w:fill="FFFFFF"/>
        </w:rPr>
      </w:pPr>
    </w:p>
    <w:p w14:paraId="3F74FCF3">
      <w:pPr>
        <w:rPr>
          <w:rFonts w:hint="eastAsia" w:ascii="微软雅黑" w:hAnsi="微软雅黑" w:eastAsia="微软雅黑"/>
          <w:color w:val="666666"/>
          <w:sz w:val="24"/>
          <w:szCs w:val="24"/>
          <w:shd w:val="clear" w:color="auto" w:fill="FFFFFF"/>
        </w:rPr>
      </w:pPr>
    </w:p>
    <w:p w14:paraId="0A296F72">
      <w:pPr>
        <w:rPr>
          <w:rFonts w:hint="eastAsia" w:ascii="微软雅黑" w:hAnsi="微软雅黑" w:eastAsia="微软雅黑"/>
          <w:color w:val="666666"/>
          <w:sz w:val="24"/>
          <w:szCs w:val="24"/>
          <w:shd w:val="clear" w:color="auto" w:fill="FFFFFF"/>
        </w:rPr>
      </w:pPr>
    </w:p>
    <w:p w14:paraId="39E2745D">
      <w:pPr>
        <w:rPr>
          <w:rFonts w:hint="eastAsia" w:ascii="微软雅黑" w:hAnsi="微软雅黑" w:eastAsia="微软雅黑"/>
          <w:color w:val="666666"/>
          <w:sz w:val="24"/>
          <w:szCs w:val="24"/>
          <w:shd w:val="clear" w:color="auto" w:fill="FFFFFF"/>
        </w:rPr>
      </w:pPr>
    </w:p>
    <w:p w14:paraId="21803A05">
      <w:pPr>
        <w:rPr>
          <w:rFonts w:hint="eastAsia" w:ascii="微软雅黑" w:hAnsi="微软雅黑" w:eastAsia="微软雅黑"/>
          <w:color w:val="666666"/>
          <w:sz w:val="24"/>
          <w:szCs w:val="24"/>
          <w:shd w:val="clear" w:color="auto" w:fill="FFFFFF"/>
        </w:rPr>
      </w:pPr>
    </w:p>
    <w:p w14:paraId="2F18CE71">
      <w:pPr>
        <w:rPr>
          <w:rFonts w:hint="eastAsia" w:ascii="微软雅黑" w:hAnsi="微软雅黑" w:eastAsia="微软雅黑"/>
          <w:color w:val="666666"/>
          <w:sz w:val="24"/>
          <w:szCs w:val="24"/>
          <w:shd w:val="clear" w:color="auto" w:fill="FFFFFF"/>
        </w:rPr>
      </w:pPr>
    </w:p>
    <w:p w14:paraId="6FD1DF06">
      <w:pPr>
        <w:rPr>
          <w:rFonts w:hint="eastAsia" w:ascii="微软雅黑" w:hAnsi="微软雅黑" w:eastAsia="微软雅黑"/>
          <w:color w:val="666666"/>
          <w:sz w:val="24"/>
          <w:szCs w:val="24"/>
          <w:shd w:val="clear" w:color="auto" w:fill="FFFFFF"/>
        </w:rPr>
      </w:pPr>
    </w:p>
    <w:p w14:paraId="15D4F436">
      <w:pPr>
        <w:rPr>
          <w:rFonts w:hint="eastAsia" w:ascii="黑体" w:hAnsi="黑体" w:eastAsia="黑体" w:cs="Tahoma"/>
          <w:b/>
          <w:bCs/>
          <w:color w:val="333333"/>
          <w:sz w:val="36"/>
          <w:szCs w:val="36"/>
          <w:lang w:val="en-US" w:eastAsia="zh-CN"/>
        </w:rPr>
      </w:pPr>
    </w:p>
    <w:p w14:paraId="6B36413A">
      <w:pPr>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outline dimension ：</w:t>
      </w:r>
    </w:p>
    <w:p w14:paraId="75740498">
      <w:pPr>
        <w:rPr>
          <w:rFonts w:ascii="黑体" w:hAnsi="黑体" w:eastAsia="黑体" w:cs="Tahoma"/>
          <w:b/>
          <w:color w:val="333333"/>
          <w:sz w:val="36"/>
          <w:szCs w:val="36"/>
        </w:rPr>
      </w:pPr>
    </w:p>
    <w:p w14:paraId="141D22DD">
      <w:pPr>
        <w:rPr>
          <w:rFonts w:hint="eastAsia" w:ascii="黑体" w:hAnsi="黑体" w:eastAsia="黑体" w:cs="Tahoma"/>
          <w:b/>
          <w:color w:val="333333"/>
          <w:sz w:val="36"/>
          <w:szCs w:val="36"/>
          <w:lang w:eastAsia="zh-CN"/>
        </w:rPr>
      </w:pPr>
      <w:r>
        <w:rPr>
          <w:rFonts w:hint="eastAsia" w:ascii="黑体" w:hAnsi="黑体" w:eastAsia="黑体" w:cs="Tahoma"/>
          <w:b/>
          <w:color w:val="333333"/>
          <w:sz w:val="36"/>
          <w:szCs w:val="36"/>
          <w:lang w:eastAsia="zh-CN"/>
        </w:rPr>
        <w:drawing>
          <wp:inline distT="0" distB="0" distL="114300" distR="114300">
            <wp:extent cx="6781165" cy="4969510"/>
            <wp:effectExtent l="0" t="0" r="635" b="8890"/>
            <wp:docPr id="1" name="图片 1" descr="KMS-P3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MS-P3721"/>
                    <pic:cNvPicPr>
                      <a:picLocks noChangeAspect="1"/>
                    </pic:cNvPicPr>
                  </pic:nvPicPr>
                  <pic:blipFill>
                    <a:blip r:embed="rId6"/>
                    <a:srcRect l="3141" t="3123" r="1983"/>
                    <a:stretch>
                      <a:fillRect/>
                    </a:stretch>
                  </pic:blipFill>
                  <pic:spPr>
                    <a:xfrm>
                      <a:off x="0" y="0"/>
                      <a:ext cx="6781165" cy="4969510"/>
                    </a:xfrm>
                    <a:prstGeom prst="rect">
                      <a:avLst/>
                    </a:prstGeom>
                  </pic:spPr>
                </pic:pic>
              </a:graphicData>
            </a:graphic>
          </wp:inline>
        </w:drawing>
      </w:r>
    </w:p>
    <w:p w14:paraId="1E496B12">
      <w:pPr>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xml:space="preserve">   </w:t>
      </w:r>
    </w:p>
    <w:p w14:paraId="094205D5">
      <w:pPr>
        <w:ind w:firstLine="361" w:firstLineChars="100"/>
        <w:rPr>
          <w:rFonts w:hint="eastAsia" w:ascii="黑体" w:hAnsi="黑体" w:eastAsia="黑体" w:cs="Tahoma"/>
          <w:b/>
          <w:bCs/>
          <w:color w:val="333333"/>
          <w:sz w:val="36"/>
          <w:szCs w:val="36"/>
        </w:rPr>
      </w:pPr>
    </w:p>
    <w:p w14:paraId="0A35B88B">
      <w:pPr>
        <w:ind w:firstLine="361" w:firstLineChars="100"/>
        <w:rPr>
          <w:rFonts w:hint="eastAsia" w:ascii="黑体" w:hAnsi="黑体" w:eastAsia="黑体" w:cs="Tahoma"/>
          <w:b/>
          <w:bCs/>
          <w:color w:val="333333"/>
          <w:sz w:val="36"/>
          <w:szCs w:val="36"/>
        </w:rPr>
      </w:pPr>
    </w:p>
    <w:p w14:paraId="53D6101C">
      <w:pPr>
        <w:ind w:firstLine="361" w:firstLineChars="100"/>
        <w:rPr>
          <w:rFonts w:hint="eastAsia" w:ascii="黑体" w:hAnsi="黑体" w:eastAsia="黑体" w:cs="Tahoma"/>
          <w:b/>
          <w:bCs/>
          <w:color w:val="333333"/>
          <w:sz w:val="36"/>
          <w:szCs w:val="36"/>
        </w:rPr>
      </w:pPr>
    </w:p>
    <w:p w14:paraId="35310F0B">
      <w:pPr>
        <w:ind w:firstLine="361" w:firstLineChars="100"/>
        <w:rPr>
          <w:rFonts w:hint="eastAsia" w:ascii="黑体" w:hAnsi="黑体" w:eastAsia="黑体" w:cs="Tahoma"/>
          <w:b/>
          <w:bCs/>
          <w:color w:val="333333"/>
          <w:sz w:val="36"/>
          <w:szCs w:val="36"/>
        </w:rPr>
      </w:pPr>
    </w:p>
    <w:p w14:paraId="0BD505F7">
      <w:pPr>
        <w:rPr>
          <w:rFonts w:hint="eastAsia" w:ascii="黑体" w:hAnsi="黑体" w:eastAsia="黑体" w:cs="Tahoma"/>
          <w:b/>
          <w:bCs/>
          <w:color w:val="333333"/>
          <w:sz w:val="36"/>
          <w:szCs w:val="36"/>
        </w:rPr>
      </w:pPr>
    </w:p>
    <w:p w14:paraId="30550D5F">
      <w:pPr>
        <w:ind w:firstLine="361" w:firstLineChars="100"/>
        <w:rPr>
          <w:rFonts w:hint="eastAsia" w:ascii="黑体" w:hAnsi="黑体" w:eastAsia="黑体" w:cs="Tahoma"/>
          <w:b/>
          <w:bCs/>
          <w:color w:val="333333"/>
          <w:sz w:val="36"/>
          <w:szCs w:val="36"/>
        </w:rPr>
      </w:pPr>
    </w:p>
    <w:p w14:paraId="41EC1960">
      <w:pPr>
        <w:ind w:firstLine="361" w:firstLineChars="100"/>
        <w:rPr>
          <w:rFonts w:hint="eastAsia" w:ascii="黑体" w:hAnsi="黑体" w:eastAsia="黑体" w:cs="Tahoma"/>
          <w:b/>
          <w:bCs/>
          <w:color w:val="333333"/>
          <w:sz w:val="36"/>
          <w:szCs w:val="36"/>
        </w:rPr>
      </w:pPr>
    </w:p>
    <w:p w14:paraId="04F515D6">
      <w:pPr>
        <w:ind w:firstLine="240" w:firstLineChars="1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Features:</w:t>
      </w:r>
    </w:p>
    <w:p w14:paraId="5EECEBD0">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Features fault self-diagnosis and alarm alerts, facilitating user maintenance and operation;</w:t>
      </w:r>
    </w:p>
    <w:p w14:paraId="0FA21D0A">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operating status of the programmable device can be monitored via the built-in small control panel on the main board;</w:t>
      </w:r>
    </w:p>
    <w:p w14:paraId="211CA0CC">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motherboard settings are operated via an LCD display with Chinese-language interface, offering convenience and efficiency.</w:t>
      </w:r>
    </w:p>
    <w:p w14:paraId="41AA75AF">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46500F48">
      <w:pPr>
        <w:ind w:firstLine="480" w:firstLineChars="200"/>
        <w:rPr>
          <w:rFonts w:hint="eastAsia" w:ascii="微软雅黑" w:hAnsi="微软雅黑" w:eastAsia="微软雅黑"/>
          <w:color w:val="666666"/>
          <w:sz w:val="24"/>
          <w:szCs w:val="24"/>
          <w:shd w:val="clear" w:color="auto" w:fill="FFFFFF"/>
          <w:lang w:val="en-US" w:eastAsia="zh-CN"/>
        </w:rPr>
      </w:pPr>
      <w:r>
        <w:rPr>
          <w:rFonts w:hint="eastAsia" w:ascii="Times New Roman" w:hAnsi="微软雅黑" w:eastAsia="微软雅黑" w:cstheme="minorBidi"/>
          <w:color w:val="666666"/>
          <w:kern w:val="2"/>
          <w:sz w:val="24"/>
          <w:szCs w:val="24"/>
          <w:shd w:val="clear" w:color="auto" w:fill="FFFFFF"/>
          <w:lang w:val="en-US" w:eastAsia="zh-CN" w:bidi="ar-SA"/>
        </w:rPr>
        <w:t>◇Anti-clamping function: If resistance is encountered during the arm recovery process, the device automatically rebounds or the motor stops operating within a specified time frame, with precise force control.</w:t>
      </w:r>
    </w:p>
    <w:p w14:paraId="759B9B23">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degree is very small (≤2 kg);</w:t>
      </w:r>
    </w:p>
    <w:p w14:paraId="7B8ECFE1">
      <w:pPr>
        <w:ind w:firstLine="480" w:firstLineChars="200"/>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Sound and light alarm functions: includes unauthorized intrusion detection and tailgating alerts;</w:t>
      </w:r>
    </w:p>
    <w:p w14:paraId="3DE19539">
      <w:pPr>
        <w:ind w:firstLine="480" w:firstLineChars="200"/>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Anti-slip function: The swing arm automatically locks when no gate opening signal is received.</w:t>
      </w:r>
    </w:p>
    <w:p w14:paraId="0198FC78">
      <w:pPr>
        <w:ind w:firstLine="480" w:firstLineChars="200"/>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◇Scalable arm synchronization function;</w:t>
      </w:r>
    </w:p>
    <w:p w14:paraId="6C91B80B">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system features an automatic reset function: if no vehicle passes through within the specified time after the gate opens, the user's current passage permission will be automatically revoked.</w:t>
      </w:r>
    </w:p>
    <w:p w14:paraId="626187BB">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By default, the system automatically resets after 10 seconds when enabled.</w:t>
      </w:r>
    </w:p>
    <w:p w14:paraId="77603CD5">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passage automatically opens after power outage and closes upon power restoration;</w:t>
      </w:r>
    </w:p>
    <w:p w14:paraId="268A43F8">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Compatible with various card readers;</w:t>
      </w:r>
    </w:p>
    <w:p w14:paraId="64CEA0B8">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allows one-way or two-way control of personnel entry and exit;</w:t>
      </w:r>
    </w:p>
    <w:p w14:paraId="67FFE17F">
      <w:pPr>
        <w:ind w:firstLine="480" w:firstLineChars="200"/>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Remote control and management can be performed directly via the management computer;</w:t>
      </w:r>
    </w:p>
    <w:p w14:paraId="2D0C0C9C">
      <w:pPr>
        <w:rPr>
          <w:rFonts w:hint="eastAsia" w:ascii="微软雅黑" w:hAnsi="微软雅黑" w:eastAsia="微软雅黑"/>
          <w:color w:val="666666"/>
          <w:sz w:val="24"/>
          <w:szCs w:val="24"/>
          <w:shd w:val="clear" w:color="auto" w:fill="FFFFFF"/>
          <w:lang w:eastAsia="zh-CN"/>
        </w:rPr>
      </w:pPr>
    </w:p>
    <w:p w14:paraId="7BC40F5D">
      <w:pPr>
        <w:jc w:val="center"/>
        <w:rPr>
          <w:rFonts w:ascii="微软雅黑" w:hAnsi="微软雅黑" w:eastAsia="微软雅黑"/>
          <w:color w:val="666666"/>
          <w:sz w:val="24"/>
          <w:szCs w:val="24"/>
          <w:shd w:val="clear" w:color="auto" w:fill="FFFFFF"/>
        </w:rPr>
      </w:pP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488BB5">
    <w:pPr>
      <w:pStyle w:val="4"/>
      <w:jc w:val="right"/>
      <w:rPr>
        <w:rFonts w:hint="eastAsia" w:eastAsiaTheme="minorEastAsia"/>
        <w:lang w:eastAsia="zh-CN"/>
      </w:rPr>
    </w:pPr>
    <w:r>
      <w:rPr>
        <w:rFonts w:hint="eastAsia" w:eastAsiaTheme="minorEastAsia"/>
        <w:lang w:eastAsia="zh-CN"/>
      </w:rPr>
      <w:drawing>
        <wp:inline distT="0" distB="0" distL="114300" distR="114300">
          <wp:extent cx="1393190" cy="366395"/>
          <wp:effectExtent l="0" t="0" r="3810" b="0"/>
          <wp:docPr id="5" name="图片 5"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KEMSI2"/>
                  <pic:cNvPicPr>
                    <a:picLocks noChangeAspect="1"/>
                  </pic:cNvPicPr>
                </pic:nvPicPr>
                <pic:blipFill>
                  <a:blip r:embed="rId1"/>
                  <a:stretch>
                    <a:fillRect/>
                  </a:stretch>
                </pic:blipFill>
                <pic:spPr>
                  <a:xfrm>
                    <a:off x="0" y="0"/>
                    <a:ext cx="1393190" cy="36639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27293"/>
    <w:rsid w:val="000C1F33"/>
    <w:rsid w:val="000D1840"/>
    <w:rsid w:val="000E27B5"/>
    <w:rsid w:val="0017096E"/>
    <w:rsid w:val="001844F4"/>
    <w:rsid w:val="001C7F25"/>
    <w:rsid w:val="001D1A43"/>
    <w:rsid w:val="001E6222"/>
    <w:rsid w:val="001F6BC8"/>
    <w:rsid w:val="0020668D"/>
    <w:rsid w:val="00214022"/>
    <w:rsid w:val="00270CD4"/>
    <w:rsid w:val="00371604"/>
    <w:rsid w:val="0039169E"/>
    <w:rsid w:val="003C25CB"/>
    <w:rsid w:val="003D0938"/>
    <w:rsid w:val="00411A0C"/>
    <w:rsid w:val="00416676"/>
    <w:rsid w:val="004743CE"/>
    <w:rsid w:val="004C1FBC"/>
    <w:rsid w:val="004C599E"/>
    <w:rsid w:val="004E59BF"/>
    <w:rsid w:val="00500332"/>
    <w:rsid w:val="00515897"/>
    <w:rsid w:val="005A4AD0"/>
    <w:rsid w:val="005B52CB"/>
    <w:rsid w:val="005D58DF"/>
    <w:rsid w:val="00603034"/>
    <w:rsid w:val="0060340C"/>
    <w:rsid w:val="00614209"/>
    <w:rsid w:val="00641049"/>
    <w:rsid w:val="006500D4"/>
    <w:rsid w:val="006925B0"/>
    <w:rsid w:val="006E26FC"/>
    <w:rsid w:val="007054AA"/>
    <w:rsid w:val="007741DA"/>
    <w:rsid w:val="007C1A65"/>
    <w:rsid w:val="008541DC"/>
    <w:rsid w:val="00854EEC"/>
    <w:rsid w:val="0089543B"/>
    <w:rsid w:val="008B65E0"/>
    <w:rsid w:val="008C71DD"/>
    <w:rsid w:val="008C7324"/>
    <w:rsid w:val="008F3B49"/>
    <w:rsid w:val="008F685D"/>
    <w:rsid w:val="008F7F79"/>
    <w:rsid w:val="00904428"/>
    <w:rsid w:val="00924BED"/>
    <w:rsid w:val="009E48CC"/>
    <w:rsid w:val="00A075E4"/>
    <w:rsid w:val="00A55DD6"/>
    <w:rsid w:val="00A76360"/>
    <w:rsid w:val="00A77E46"/>
    <w:rsid w:val="00A954AB"/>
    <w:rsid w:val="00AF5E08"/>
    <w:rsid w:val="00BC5682"/>
    <w:rsid w:val="00BD1A17"/>
    <w:rsid w:val="00C4093F"/>
    <w:rsid w:val="00C65CB2"/>
    <w:rsid w:val="00C80685"/>
    <w:rsid w:val="00CA0F53"/>
    <w:rsid w:val="00CB1E69"/>
    <w:rsid w:val="00CF4893"/>
    <w:rsid w:val="00DA7B85"/>
    <w:rsid w:val="00DB2A0A"/>
    <w:rsid w:val="00DB66F8"/>
    <w:rsid w:val="00E22419"/>
    <w:rsid w:val="00E6026B"/>
    <w:rsid w:val="00EA2D44"/>
    <w:rsid w:val="00EE5F59"/>
    <w:rsid w:val="00F50607"/>
    <w:rsid w:val="00F50BA4"/>
    <w:rsid w:val="00F718C4"/>
    <w:rsid w:val="00F81176"/>
    <w:rsid w:val="00F94835"/>
    <w:rsid w:val="00FF7E42"/>
    <w:rsid w:val="01323CE1"/>
    <w:rsid w:val="04862D7A"/>
    <w:rsid w:val="07CC05D8"/>
    <w:rsid w:val="0B7373D0"/>
    <w:rsid w:val="0B904506"/>
    <w:rsid w:val="0C395F24"/>
    <w:rsid w:val="0D8323B8"/>
    <w:rsid w:val="0DD26630"/>
    <w:rsid w:val="15F86E50"/>
    <w:rsid w:val="165A53BA"/>
    <w:rsid w:val="16E80C72"/>
    <w:rsid w:val="171A4BA4"/>
    <w:rsid w:val="18AB1F57"/>
    <w:rsid w:val="1ACC4407"/>
    <w:rsid w:val="1BEF2B65"/>
    <w:rsid w:val="1D131E79"/>
    <w:rsid w:val="2197576F"/>
    <w:rsid w:val="26D0465F"/>
    <w:rsid w:val="2778394C"/>
    <w:rsid w:val="2BE617CC"/>
    <w:rsid w:val="2C821B92"/>
    <w:rsid w:val="424E43F8"/>
    <w:rsid w:val="426434AC"/>
    <w:rsid w:val="44B6296D"/>
    <w:rsid w:val="45753BB5"/>
    <w:rsid w:val="45905EAD"/>
    <w:rsid w:val="45E05087"/>
    <w:rsid w:val="47F84402"/>
    <w:rsid w:val="489B0B6C"/>
    <w:rsid w:val="48F64D8D"/>
    <w:rsid w:val="4ABE70FC"/>
    <w:rsid w:val="4D88228C"/>
    <w:rsid w:val="57847330"/>
    <w:rsid w:val="5D683633"/>
    <w:rsid w:val="617003A8"/>
    <w:rsid w:val="6C532E82"/>
    <w:rsid w:val="6F7D6542"/>
    <w:rsid w:val="7535244A"/>
    <w:rsid w:val="77F128FE"/>
    <w:rsid w:val="7A5769BE"/>
    <w:rsid w:val="7A804167"/>
    <w:rsid w:val="7E7458EF"/>
    <w:rsid w:val="7E8C502E"/>
    <w:rsid w:val="7FB61F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uiPriority w:val="99"/>
    <w:rPr>
      <w:sz w:val="18"/>
      <w:szCs w:val="18"/>
    </w:rPr>
  </w:style>
  <w:style w:type="paragraph" w:styleId="3">
    <w:name w:val="footer"/>
    <w:basedOn w:val="1"/>
    <w:link w:val="9"/>
    <w:semiHidden/>
    <w:unhideWhenUsed/>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semiHidden/>
    <w:qFormat/>
    <w:uiPriority w:val="99"/>
    <w:rPr>
      <w:sz w:val="18"/>
      <w:szCs w:val="18"/>
    </w:rPr>
  </w:style>
  <w:style w:type="character" w:customStyle="1" w:styleId="10">
    <w:name w:val="批注框文本 Char"/>
    <w:basedOn w:val="7"/>
    <w:link w:val="2"/>
    <w:semiHidden/>
    <w:qFormat/>
    <w:uiPriority w:val="99"/>
    <w:rPr>
      <w:sz w:val="18"/>
      <w:szCs w:val="18"/>
    </w:rPr>
  </w:style>
  <w:style w:type="character" w:customStyle="1" w:styleId="11">
    <w:name w:val="apple-converted-space"/>
    <w:basedOn w:val="7"/>
    <w:qFormat/>
    <w:uiPriority w:val="0"/>
  </w:style>
  <w:style w:type="character" w:customStyle="1" w:styleId="12">
    <w:name w:val="页眉 字符"/>
    <w:qFormat/>
    <w:uiPriority w:val="99"/>
    <w:rPr>
      <w:sz w:val="18"/>
      <w:szCs w:val="18"/>
    </w:rPr>
  </w:style>
  <w:style w:type="paragraph" w:styleId="13">
    <w:name w:val="No Spacing"/>
    <w:link w:val="14"/>
    <w:qFormat/>
    <w:uiPriority w:val="1"/>
    <w:rPr>
      <w:rFonts w:asciiTheme="minorHAnsi" w:hAnsiTheme="minorHAnsi" w:eastAsiaTheme="minorEastAsia" w:cstheme="minorBidi"/>
      <w:kern w:val="0"/>
      <w:sz w:val="22"/>
      <w:szCs w:val="22"/>
      <w:lang w:val="en-US" w:eastAsia="zh-CN" w:bidi="ar-SA"/>
    </w:rPr>
  </w:style>
  <w:style w:type="character" w:customStyle="1" w:styleId="14">
    <w:name w:val="无间隔 Char"/>
    <w:basedOn w:val="7"/>
    <w:link w:val="13"/>
    <w:qFormat/>
    <w:uiPriority w:val="1"/>
    <w:rPr>
      <w:kern w:val="0"/>
      <w:sz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724</Words>
  <Characters>821</Characters>
  <Lines>6</Lines>
  <Paragraphs>1</Paragraphs>
  <TotalTime>0</TotalTime>
  <ScaleCrop>false</ScaleCrop>
  <LinksUpToDate>false</LinksUpToDate>
  <CharactersWithSpaces>902</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2021-02-28T11:28:00Z</dcterms:created>
  <dc:creator>JYJ</dc:creator>
  <cp:lastModifiedBy>A通道闸管理系统</cp:lastModifiedBy>
  <cp:lastPrinted>2021-02-28T11:33:00Z</cp:lastPrinted>
  <dcterms:modified xsi:type="dcterms:W3CDTF">2026-05-26T09:30:03Z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636329AADDC543F197BDE237922AADAB_13</vt:lpwstr>
  </property>
  <property fmtid="{D5CDD505-2E9C-101B-9397-08002B2CF9AE}" pid="4" name="KSOTemplateDocerSaveRecord">
    <vt:lpwstr>eyJoZGlkIjoiNTk4ZWRiOTU2NTcwZTlkYzk1OWYxN2YzOTNlMTM1ODciLCJ1c2VySWQiOiI1MzA1NzM2NTgifQ==</vt:lpwstr>
  </property>
</Properties>
</file>