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725D6">
      <w:pPr>
        <w:ind w:firstLine="2521" w:firstLineChars="300"/>
        <w:rPr>
          <w:rFonts w:hint="eastAsia" w:ascii="微软雅黑" w:hAnsi="微软雅黑" w:eastAsia="微软雅黑"/>
          <w:b/>
          <w:color w:val="666666"/>
          <w:sz w:val="84"/>
          <w:szCs w:val="84"/>
          <w:shd w:val="clear" w:color="auto" w:fill="FFFFFF"/>
        </w:rPr>
      </w:pPr>
      <w:bookmarkStart w:id="0" w:name="_GoBack"/>
      <w:bookmarkEnd w:id="0"/>
    </w:p>
    <w:p w14:paraId="322C6FF5">
      <w:pPr>
        <w:jc w:val="center"/>
        <w:rPr>
          <w:rFonts w:hint="default"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Linear Gate</w:t>
      </w:r>
      <w:r>
        <w:rPr>
          <w:rFonts w:hint="default" w:ascii="微软雅黑" w:hAnsi="微软雅黑" w:eastAsia="微软雅黑"/>
          <w:b/>
          <w:color w:val="666666"/>
          <w:sz w:val="84"/>
          <w:szCs w:val="84"/>
          <w:shd w:val="clear" w:color="auto" w:fill="FFFFFF"/>
          <w:lang w:val="en-US" w:eastAsia="zh-CN"/>
        </w:rPr>
        <w:drawing>
          <wp:inline distT="0" distB="0" distL="114300" distR="114300">
            <wp:extent cx="5866130" cy="3903980"/>
            <wp:effectExtent l="0" t="0" r="0" b="0"/>
            <wp:docPr id="1" name="图片 1" descr="E:/科迈思智能/报价单/KeyShot 5/Renderings/产品图2026/平移闸/KMS-P3619/KMS-P3619.920.pngKMS-P3619.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科迈思智能/报价单/KeyShot 5/Renderings/产品图2026/平移闸/KMS-P3619/KMS-P3619.920.pngKMS-P3619.920"/>
                    <pic:cNvPicPr>
                      <a:picLocks noChangeAspect="1"/>
                    </pic:cNvPicPr>
                  </pic:nvPicPr>
                  <pic:blipFill>
                    <a:blip r:embed="rId5"/>
                    <a:srcRect l="16392" t="39158" r="12557" b="13566"/>
                    <a:stretch>
                      <a:fillRect/>
                    </a:stretch>
                  </pic:blipFill>
                  <pic:spPr>
                    <a:xfrm>
                      <a:off x="0" y="0"/>
                      <a:ext cx="5866130" cy="3903980"/>
                    </a:xfrm>
                    <a:prstGeom prst="rect">
                      <a:avLst/>
                    </a:prstGeom>
                  </pic:spPr>
                </pic:pic>
              </a:graphicData>
            </a:graphic>
          </wp:inline>
        </w:drawing>
      </w:r>
    </w:p>
    <w:p w14:paraId="28289B71">
      <w:pPr>
        <w:jc w:val="center"/>
        <w:rPr>
          <w:rFonts w:hint="default" w:ascii="微软雅黑" w:hAnsi="微软雅黑" w:eastAsia="微软雅黑"/>
          <w:b/>
          <w:color w:val="666666"/>
          <w:sz w:val="84"/>
          <w:szCs w:val="84"/>
          <w:shd w:val="clear" w:color="auto" w:fill="FFFFFF"/>
          <w:lang w:val="en-US" w:eastAsia="zh-CN"/>
        </w:rPr>
      </w:pPr>
    </w:p>
    <w:p w14:paraId="3B13DD71">
      <w:pPr>
        <w:ind w:firstLine="480" w:firstLineChars="20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KMS-P3629 sliding gate is a high-tech product designed for intelligent management of personnel access channels, representing an upgraded version of the smart three-roll barrier. Featuring precision engineering, comprehensive functionality, and premium quality, it is primarily used in upscale residential communities, smart buildings, hotels, subway systems, ports, clubs, and other high-end venues. This equipment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systems, and directional indicators, it enables coordinated intelligent control and management of access channels.</w:t>
      </w:r>
    </w:p>
    <w:p w14:paraId="577468C5">
      <w:pPr>
        <w:jc w:val="center"/>
        <w:rPr>
          <w:rFonts w:ascii="微软雅黑" w:hAnsi="微软雅黑" w:eastAsia="微软雅黑"/>
          <w:color w:val="666666"/>
          <w:sz w:val="24"/>
          <w:szCs w:val="24"/>
          <w:shd w:val="clear" w:color="auto" w:fill="FFFFFF"/>
        </w:rPr>
      </w:pPr>
    </w:p>
    <w:p w14:paraId="527B2017">
      <w:pPr>
        <w:spacing w:line="360" w:lineRule="auto"/>
        <w:jc w:val="left"/>
        <w:rPr>
          <w:rFonts w:ascii="黑体" w:hAnsi="黑体" w:eastAsia="黑体" w:cs="Tahoma"/>
          <w:b/>
          <w:bCs/>
          <w:color w:val="333333"/>
          <w:sz w:val="36"/>
          <w:szCs w:val="36"/>
        </w:rPr>
      </w:pPr>
    </w:p>
    <w:p w14:paraId="7786EEB0">
      <w:pPr>
        <w:spacing w:line="360" w:lineRule="auto"/>
        <w:ind w:firstLine="360" w:firstLineChars="100"/>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technical parameter ：</w:t>
      </w:r>
    </w:p>
    <w:tbl>
      <w:tblPr>
        <w:tblStyle w:val="6"/>
        <w:tblpPr w:leftFromText="180" w:rightFromText="180" w:vertAnchor="text" w:horzAnchor="page" w:tblpX="1395" w:tblpY="540"/>
        <w:tblOverlap w:val="never"/>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51"/>
        <w:gridCol w:w="7314"/>
      </w:tblGrid>
      <w:tr w14:paraId="719292F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4EBDBF72">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product model</w:t>
            </w:r>
          </w:p>
        </w:tc>
        <w:tc>
          <w:tcPr>
            <w:tcW w:w="7314" w:type="dxa"/>
          </w:tcPr>
          <w:p w14:paraId="09D44815">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KMS-P3629</w:t>
            </w:r>
          </w:p>
        </w:tc>
      </w:tr>
      <w:tr w14:paraId="7F60013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shd w:val="clear" w:color="auto" w:fill="auto"/>
            <w:vAlign w:val="top"/>
          </w:tcPr>
          <w:p w14:paraId="22C3F981">
            <w:pPr>
              <w:jc w:val="center"/>
              <w:rPr>
                <w:rFonts w:hint="eastAsia" w:ascii="微软雅黑" w:hAnsi="微软雅黑" w:eastAsia="微软雅黑" w:cstheme="minorBidi"/>
                <w:b/>
                <w:color w:val="666666"/>
                <w:kern w:val="2"/>
                <w:sz w:val="22"/>
                <w:szCs w:val="22"/>
                <w:shd w:val="clear" w:color="auto" w:fill="FFFFFF"/>
                <w:lang w:val="en-US" w:eastAsia="zh-CN" w:bidi="ar-SA"/>
              </w:rPr>
            </w:pPr>
            <w:r>
              <w:rPr>
                <w:rFonts w:hint="eastAsia" w:ascii="Times New Roman" w:hAnsi="微软雅黑" w:eastAsia="微软雅黑" w:cstheme="minorBidi"/>
                <w:b/>
                <w:color w:val="666666"/>
                <w:kern w:val="2"/>
                <w:sz w:val="22"/>
                <w:szCs w:val="22"/>
                <w:shd w:val="clear" w:color="auto" w:fill="FFFFFF"/>
                <w:lang w:val="en-US" w:eastAsia="zh-CN" w:bidi="ar-SA"/>
              </w:rPr>
              <w:t>Case material</w:t>
            </w:r>
          </w:p>
        </w:tc>
        <w:tc>
          <w:tcPr>
            <w:tcW w:w="7314" w:type="dxa"/>
            <w:shd w:val="clear" w:color="auto" w:fill="auto"/>
            <w:vAlign w:val="top"/>
          </w:tcPr>
          <w:p w14:paraId="38FCD871">
            <w:pPr>
              <w:jc w:val="center"/>
              <w:rPr>
                <w:rFonts w:hint="eastAsia" w:ascii="微软雅黑" w:hAnsi="微软雅黑" w:eastAsia="微软雅黑" w:cstheme="minorBidi"/>
                <w:b/>
                <w:color w:val="666666"/>
                <w:kern w:val="2"/>
                <w:sz w:val="22"/>
                <w:szCs w:val="22"/>
                <w:shd w:val="clear" w:color="auto" w:fill="FFFFFF"/>
                <w:lang w:val="en-US" w:eastAsia="zh-CN" w:bidi="ar-SA"/>
              </w:rPr>
            </w:pPr>
            <w:r>
              <w:rPr>
                <w:rFonts w:hint="eastAsia" w:ascii="Times New Roman" w:hAnsi="微软雅黑" w:eastAsia="微软雅黑" w:cstheme="minorBidi"/>
                <w:b/>
                <w:color w:val="666666"/>
                <w:kern w:val="2"/>
                <w:sz w:val="22"/>
                <w:szCs w:val="22"/>
                <w:shd w:val="clear" w:color="auto" w:fill="FFFFFF"/>
                <w:lang w:val="en-US" w:eastAsia="zh-CN" w:bidi="ar-SA"/>
              </w:rPr>
              <w:t>Domestic standard No.304 stainless steel (top cover: 1.5 mm; body: 1.2 mm)</w:t>
            </w:r>
          </w:p>
        </w:tc>
      </w:tr>
      <w:tr w14:paraId="73AC6C5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3398959C">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Standard chassis dimensions</w:t>
            </w:r>
          </w:p>
        </w:tc>
        <w:tc>
          <w:tcPr>
            <w:tcW w:w="7314" w:type="dxa"/>
          </w:tcPr>
          <w:p w14:paraId="2DC1738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1200*350*1000mm</w:t>
            </w:r>
          </w:p>
        </w:tc>
      </w:tr>
      <w:tr w14:paraId="007E9E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4F15911E">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infrared</w:t>
            </w:r>
          </w:p>
        </w:tc>
        <w:tc>
          <w:tcPr>
            <w:tcW w:w="7314" w:type="dxa"/>
          </w:tcPr>
          <w:p w14:paraId="7BC6A88B">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4 pairs (Brand: Jietek)</w:t>
            </w:r>
          </w:p>
        </w:tc>
      </w:tr>
      <w:tr w14:paraId="128168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082E4D99">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source</w:t>
            </w:r>
          </w:p>
        </w:tc>
        <w:tc>
          <w:tcPr>
            <w:tcW w:w="7314" w:type="dxa"/>
          </w:tcPr>
          <w:p w14:paraId="46183B5F">
            <w:pPr>
              <w:jc w:val="center"/>
              <w:rPr>
                <w:rFonts w:hint="eastAsia" w:ascii="微软雅黑" w:hAnsi="微软雅黑" w:eastAsia="微软雅黑"/>
                <w:b/>
                <w:color w:val="666666"/>
                <w:sz w:val="22"/>
                <w:shd w:val="clear" w:color="auto" w:fill="FFFFFF"/>
              </w:rPr>
            </w:pPr>
            <w:r>
              <w:rPr>
                <w:rFonts w:hint="eastAsia" w:ascii="Times New Roman" w:hAnsi="微软雅黑" w:eastAsia="微软雅黑" w:cstheme="minorBidi"/>
                <w:b/>
                <w:color w:val="666666"/>
                <w:kern w:val="2"/>
                <w:sz w:val="22"/>
                <w:szCs w:val="22"/>
                <w:shd w:val="clear" w:color="auto" w:fill="FFFFFF"/>
                <w:lang w:val="en-US" w:eastAsia="zh-CN" w:bidi="ar-SA"/>
              </w:rPr>
              <w:t>24V 8.5A (Brand: Mingwei)</w:t>
            </w:r>
          </w:p>
        </w:tc>
      </w:tr>
      <w:tr w14:paraId="1E049FD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BE07A9A">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gangway width</w:t>
            </w:r>
          </w:p>
        </w:tc>
        <w:tc>
          <w:tcPr>
            <w:tcW w:w="7314" w:type="dxa"/>
          </w:tcPr>
          <w:p w14:paraId="1CDFCBA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550–600 mm (double-sided)</w:t>
            </w:r>
          </w:p>
        </w:tc>
      </w:tr>
      <w:tr w14:paraId="61F305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6AE28B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Arm swing material</w:t>
            </w:r>
          </w:p>
        </w:tc>
        <w:tc>
          <w:tcPr>
            <w:tcW w:w="7314" w:type="dxa"/>
          </w:tcPr>
          <w:p w14:paraId="450BC2A1">
            <w:pPr>
              <w:jc w:val="center"/>
              <w:rPr>
                <w:rFonts w:ascii="微软雅黑" w:hAnsi="微软雅黑" w:eastAsia="微软雅黑"/>
                <w:b/>
                <w:color w:val="666666"/>
                <w:sz w:val="22"/>
                <w:shd w:val="clear" w:color="auto" w:fill="FFFFFF"/>
              </w:rPr>
            </w:pPr>
            <w:r>
              <w:rPr>
                <w:rFonts w:hint="eastAsia" w:ascii="Times New Roman" w:hAnsi="微软雅黑" w:eastAsia="微软雅黑" w:cstheme="minorBidi"/>
                <w:b/>
                <w:color w:val="666666"/>
                <w:kern w:val="2"/>
                <w:sz w:val="22"/>
                <w:szCs w:val="22"/>
                <w:shd w:val="clear" w:color="auto" w:fill="FFFFFF"/>
                <w:lang w:val="en-US" w:eastAsia="zh-CN" w:bidi="ar-SA"/>
              </w:rPr>
              <w:t>Acrylic swing door</w:t>
            </w:r>
          </w:p>
        </w:tc>
      </w:tr>
      <w:tr w14:paraId="60E5E33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10130F0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working voltage</w:t>
            </w:r>
          </w:p>
        </w:tc>
        <w:tc>
          <w:tcPr>
            <w:tcW w:w="7314" w:type="dxa"/>
          </w:tcPr>
          <w:p w14:paraId="18CFBCAD">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AC220V±10%/50HZ</w:t>
            </w:r>
          </w:p>
        </w:tc>
      </w:tr>
      <w:tr w14:paraId="3E4DD68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809EBF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Drive Motor</w:t>
            </w:r>
          </w:p>
        </w:tc>
        <w:tc>
          <w:tcPr>
            <w:tcW w:w="7314" w:type="dxa"/>
          </w:tcPr>
          <w:p w14:paraId="2438B58E">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24V brushless DC motor (Brand: Lianyi)</w:t>
            </w:r>
          </w:p>
        </w:tc>
      </w:tr>
      <w:tr w14:paraId="0C37A53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36131E98">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Passage Speed</w:t>
            </w:r>
          </w:p>
        </w:tc>
        <w:tc>
          <w:tcPr>
            <w:tcW w:w="7314" w:type="dxa"/>
          </w:tcPr>
          <w:p w14:paraId="4C0C9AEC">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20–30 people per minute</w:t>
            </w:r>
          </w:p>
        </w:tc>
      </w:tr>
      <w:tr w14:paraId="375734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55231B7D">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end-use temperature</w:t>
            </w:r>
          </w:p>
        </w:tc>
        <w:tc>
          <w:tcPr>
            <w:tcW w:w="7314" w:type="dxa"/>
          </w:tcPr>
          <w:p w14:paraId="282F4243">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-10°C to 70°C; Relative humidity: ≤90%; No condensation</w:t>
            </w:r>
          </w:p>
        </w:tc>
      </w:tr>
      <w:tr w14:paraId="37F92A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642D597E">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Input Interface</w:t>
            </w:r>
          </w:p>
        </w:tc>
        <w:tc>
          <w:tcPr>
            <w:tcW w:w="7314" w:type="dxa"/>
          </w:tcPr>
          <w:p w14:paraId="3C37EA2A">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Relay dry contact signal or a 12V pulse signal with a pulse width ≥100 ms</w:t>
            </w:r>
          </w:p>
        </w:tc>
      </w:tr>
      <w:tr w14:paraId="1D43FF3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54188727">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CI</w:t>
            </w:r>
          </w:p>
        </w:tc>
        <w:tc>
          <w:tcPr>
            <w:tcW w:w="7314" w:type="dxa"/>
          </w:tcPr>
          <w:p w14:paraId="1715E92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RS485 standard: Distance ≤300 meters</w:t>
            </w:r>
          </w:p>
        </w:tc>
      </w:tr>
    </w:tbl>
    <w:p w14:paraId="4BFB2AD4">
      <w:pPr>
        <w:spacing w:line="360" w:lineRule="auto"/>
        <w:jc w:val="left"/>
        <w:rPr>
          <w:rFonts w:ascii="Tahoma" w:hAnsi="Tahoma" w:eastAsia="宋体" w:cs="Tahoma"/>
          <w:color w:val="333333"/>
          <w:sz w:val="30"/>
          <w:szCs w:val="30"/>
        </w:rPr>
      </w:pPr>
    </w:p>
    <w:p w14:paraId="65102658">
      <w:pPr>
        <w:rPr>
          <w:rFonts w:ascii="微软雅黑" w:hAnsi="微软雅黑" w:eastAsia="微软雅黑"/>
          <w:color w:val="666666"/>
          <w:sz w:val="24"/>
          <w:szCs w:val="24"/>
          <w:shd w:val="clear" w:color="auto" w:fill="FFFFFF"/>
        </w:rPr>
      </w:pPr>
    </w:p>
    <w:p w14:paraId="087F6232">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w:t>
      </w:r>
    </w:p>
    <w:p w14:paraId="46185D20">
      <w:pPr>
        <w:rPr>
          <w:rFonts w:hint="eastAsia" w:ascii="微软雅黑" w:hAnsi="微软雅黑" w:eastAsia="微软雅黑"/>
          <w:color w:val="666666"/>
          <w:sz w:val="24"/>
          <w:szCs w:val="24"/>
          <w:shd w:val="clear" w:color="auto" w:fill="FFFFFF"/>
        </w:rPr>
      </w:pPr>
    </w:p>
    <w:p w14:paraId="75BAAAED">
      <w:pPr>
        <w:rPr>
          <w:rFonts w:hint="eastAsia" w:ascii="微软雅黑" w:hAnsi="微软雅黑" w:eastAsia="微软雅黑"/>
          <w:color w:val="666666"/>
          <w:sz w:val="24"/>
          <w:szCs w:val="24"/>
          <w:shd w:val="clear" w:color="auto" w:fill="FFFFFF"/>
        </w:rPr>
      </w:pPr>
    </w:p>
    <w:p w14:paraId="0AAD080E">
      <w:pPr>
        <w:rPr>
          <w:rFonts w:hint="eastAsia" w:ascii="微软雅黑" w:hAnsi="微软雅黑" w:eastAsia="微软雅黑"/>
          <w:color w:val="666666"/>
          <w:sz w:val="24"/>
          <w:szCs w:val="24"/>
          <w:shd w:val="clear" w:color="auto" w:fill="FFFFFF"/>
        </w:rPr>
      </w:pPr>
    </w:p>
    <w:p w14:paraId="7D4E2A11">
      <w:pPr>
        <w:rPr>
          <w:rFonts w:hint="eastAsia" w:ascii="微软雅黑" w:hAnsi="微软雅黑" w:eastAsia="微软雅黑"/>
          <w:color w:val="666666"/>
          <w:sz w:val="24"/>
          <w:szCs w:val="24"/>
          <w:shd w:val="clear" w:color="auto" w:fill="FFFFFF"/>
        </w:rPr>
      </w:pPr>
    </w:p>
    <w:p w14:paraId="08E52A63">
      <w:pPr>
        <w:rPr>
          <w:rFonts w:hint="eastAsia" w:ascii="微软雅黑" w:hAnsi="微软雅黑" w:eastAsia="微软雅黑"/>
          <w:color w:val="666666"/>
          <w:sz w:val="24"/>
          <w:szCs w:val="24"/>
          <w:shd w:val="clear" w:color="auto" w:fill="FFFFFF"/>
        </w:rPr>
      </w:pPr>
    </w:p>
    <w:p w14:paraId="14DAC6F4">
      <w:pPr>
        <w:rPr>
          <w:rFonts w:hint="eastAsia" w:ascii="微软雅黑" w:hAnsi="微软雅黑" w:eastAsia="微软雅黑"/>
          <w:color w:val="666666"/>
          <w:sz w:val="24"/>
          <w:szCs w:val="24"/>
          <w:shd w:val="clear" w:color="auto" w:fill="FFFFFF"/>
        </w:rPr>
      </w:pPr>
    </w:p>
    <w:p w14:paraId="65A0D83A">
      <w:pPr>
        <w:rPr>
          <w:rFonts w:hint="eastAsia" w:ascii="微软雅黑" w:hAnsi="微软雅黑" w:eastAsia="微软雅黑"/>
          <w:color w:val="666666"/>
          <w:sz w:val="24"/>
          <w:szCs w:val="24"/>
          <w:shd w:val="clear" w:color="auto" w:fill="FFFFFF"/>
        </w:rPr>
      </w:pPr>
    </w:p>
    <w:p w14:paraId="00FF5C0A">
      <w:pPr>
        <w:rPr>
          <w:rFonts w:hint="eastAsia" w:ascii="微软雅黑" w:hAnsi="微软雅黑" w:eastAsia="微软雅黑"/>
          <w:color w:val="666666"/>
          <w:sz w:val="24"/>
          <w:szCs w:val="24"/>
          <w:shd w:val="clear" w:color="auto" w:fill="FFFFFF"/>
        </w:rPr>
      </w:pPr>
    </w:p>
    <w:p w14:paraId="704BF061">
      <w:pPr>
        <w:rPr>
          <w:rFonts w:hint="eastAsia" w:ascii="微软雅黑" w:hAnsi="微软雅黑" w:eastAsia="微软雅黑"/>
          <w:color w:val="666666"/>
          <w:sz w:val="24"/>
          <w:szCs w:val="24"/>
          <w:shd w:val="clear" w:color="auto" w:fill="FFFFFF"/>
        </w:rPr>
      </w:pPr>
    </w:p>
    <w:p w14:paraId="5E438FC7">
      <w:pPr>
        <w:rPr>
          <w:rFonts w:hint="eastAsia" w:ascii="微软雅黑" w:hAnsi="微软雅黑" w:eastAsia="微软雅黑"/>
          <w:color w:val="666666"/>
          <w:sz w:val="24"/>
          <w:szCs w:val="24"/>
          <w:shd w:val="clear" w:color="auto" w:fill="FFFFFF"/>
        </w:rPr>
      </w:pPr>
    </w:p>
    <w:p w14:paraId="26AB4E55">
      <w:pPr>
        <w:rPr>
          <w:rFonts w:hint="eastAsia" w:ascii="微软雅黑" w:hAnsi="微软雅黑" w:eastAsia="微软雅黑"/>
          <w:color w:val="666666"/>
          <w:sz w:val="24"/>
          <w:szCs w:val="24"/>
          <w:shd w:val="clear" w:color="auto" w:fill="FFFFFF"/>
        </w:rPr>
      </w:pPr>
    </w:p>
    <w:p w14:paraId="101AD58B">
      <w:pPr>
        <w:rPr>
          <w:rFonts w:hint="eastAsia" w:ascii="微软雅黑" w:hAnsi="微软雅黑" w:eastAsia="微软雅黑"/>
          <w:color w:val="666666"/>
          <w:sz w:val="24"/>
          <w:szCs w:val="24"/>
          <w:shd w:val="clear" w:color="auto" w:fill="FFFFFF"/>
        </w:rPr>
      </w:pPr>
    </w:p>
    <w:p w14:paraId="3F74FCF3">
      <w:pPr>
        <w:rPr>
          <w:rFonts w:hint="eastAsia" w:ascii="微软雅黑" w:hAnsi="微软雅黑" w:eastAsia="微软雅黑"/>
          <w:color w:val="666666"/>
          <w:sz w:val="24"/>
          <w:szCs w:val="24"/>
          <w:shd w:val="clear" w:color="auto" w:fill="FFFFFF"/>
        </w:rPr>
      </w:pPr>
    </w:p>
    <w:p w14:paraId="0A296F72">
      <w:pPr>
        <w:rPr>
          <w:rFonts w:hint="eastAsia" w:ascii="微软雅黑" w:hAnsi="微软雅黑" w:eastAsia="微软雅黑"/>
          <w:color w:val="666666"/>
          <w:sz w:val="24"/>
          <w:szCs w:val="24"/>
          <w:shd w:val="clear" w:color="auto" w:fill="FFFFFF"/>
        </w:rPr>
      </w:pPr>
    </w:p>
    <w:p w14:paraId="39E2745D">
      <w:pPr>
        <w:rPr>
          <w:rFonts w:hint="eastAsia" w:ascii="微软雅黑" w:hAnsi="微软雅黑" w:eastAsia="微软雅黑"/>
          <w:color w:val="666666"/>
          <w:sz w:val="24"/>
          <w:szCs w:val="24"/>
          <w:shd w:val="clear" w:color="auto" w:fill="FFFFFF"/>
        </w:rPr>
      </w:pPr>
    </w:p>
    <w:p w14:paraId="21803A05">
      <w:pPr>
        <w:rPr>
          <w:rFonts w:hint="eastAsia" w:ascii="微软雅黑" w:hAnsi="微软雅黑" w:eastAsia="微软雅黑"/>
          <w:color w:val="666666"/>
          <w:sz w:val="24"/>
          <w:szCs w:val="24"/>
          <w:shd w:val="clear" w:color="auto" w:fill="FFFFFF"/>
        </w:rPr>
      </w:pPr>
    </w:p>
    <w:p w14:paraId="2F18CE71">
      <w:pPr>
        <w:rPr>
          <w:rFonts w:hint="eastAsia" w:ascii="微软雅黑" w:hAnsi="微软雅黑" w:eastAsia="微软雅黑"/>
          <w:color w:val="666666"/>
          <w:sz w:val="24"/>
          <w:szCs w:val="24"/>
          <w:shd w:val="clear" w:color="auto" w:fill="FFFFFF"/>
        </w:rPr>
      </w:pPr>
    </w:p>
    <w:p w14:paraId="6FD1DF06">
      <w:pPr>
        <w:rPr>
          <w:rFonts w:hint="eastAsia" w:ascii="微软雅黑" w:hAnsi="微软雅黑" w:eastAsia="微软雅黑"/>
          <w:color w:val="666666"/>
          <w:sz w:val="24"/>
          <w:szCs w:val="24"/>
          <w:shd w:val="clear" w:color="auto" w:fill="FFFFFF"/>
        </w:rPr>
      </w:pPr>
    </w:p>
    <w:p w14:paraId="15D4F436">
      <w:pPr>
        <w:rPr>
          <w:rFonts w:hint="eastAsia" w:ascii="黑体" w:hAnsi="黑体" w:eastAsia="黑体" w:cs="Tahoma"/>
          <w:b/>
          <w:bCs/>
          <w:color w:val="333333"/>
          <w:sz w:val="36"/>
          <w:szCs w:val="36"/>
          <w:lang w:val="en-US" w:eastAsia="zh-CN"/>
        </w:rPr>
      </w:pPr>
    </w:p>
    <w:p w14:paraId="6B36413A">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outline dimension ：</w:t>
      </w:r>
    </w:p>
    <w:p w14:paraId="75740498">
      <w:pPr>
        <w:rPr>
          <w:rFonts w:ascii="黑体" w:hAnsi="黑体" w:eastAsia="黑体" w:cs="Tahoma"/>
          <w:b/>
          <w:color w:val="333333"/>
          <w:sz w:val="36"/>
          <w:szCs w:val="36"/>
        </w:rPr>
      </w:pPr>
    </w:p>
    <w:p w14:paraId="141D22DD">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734175" cy="5568315"/>
            <wp:effectExtent l="0" t="0" r="9525" b="6985"/>
            <wp:docPr id="6" name="图片 6" descr="E:/科迈思智能/报价单/KeyShot 5/Renderings/产品图2026/平移闸/KMS-P3619/KMS-P3619.pngKMS-P3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平移闸/KMS-P3619/KMS-P3619.pngKMS-P3619"/>
                    <pic:cNvPicPr>
                      <a:picLocks noChangeAspect="1"/>
                    </pic:cNvPicPr>
                  </pic:nvPicPr>
                  <pic:blipFill>
                    <a:blip r:embed="rId6"/>
                    <a:srcRect l="4471" t="8548" r="4813" b="3902"/>
                    <a:stretch>
                      <a:fillRect/>
                    </a:stretch>
                  </pic:blipFill>
                  <pic:spPr>
                    <a:xfrm>
                      <a:off x="0" y="0"/>
                      <a:ext cx="6734175" cy="5568315"/>
                    </a:xfrm>
                    <a:prstGeom prst="rect">
                      <a:avLst/>
                    </a:prstGeom>
                  </pic:spPr>
                </pic:pic>
              </a:graphicData>
            </a:graphic>
          </wp:inline>
        </w:drawing>
      </w:r>
    </w:p>
    <w:p w14:paraId="1E496B12">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xml:space="preserve">   </w:t>
      </w:r>
    </w:p>
    <w:p w14:paraId="094205D5">
      <w:pPr>
        <w:ind w:firstLine="361" w:firstLineChars="100"/>
        <w:rPr>
          <w:rFonts w:hint="eastAsia" w:ascii="黑体" w:hAnsi="黑体" w:eastAsia="黑体" w:cs="Tahoma"/>
          <w:b/>
          <w:bCs/>
          <w:color w:val="333333"/>
          <w:sz w:val="36"/>
          <w:szCs w:val="36"/>
        </w:rPr>
      </w:pPr>
    </w:p>
    <w:p w14:paraId="0A35B88B">
      <w:pPr>
        <w:ind w:firstLine="361" w:firstLineChars="100"/>
        <w:rPr>
          <w:rFonts w:hint="eastAsia" w:ascii="黑体" w:hAnsi="黑体" w:eastAsia="黑体" w:cs="Tahoma"/>
          <w:b/>
          <w:bCs/>
          <w:color w:val="333333"/>
          <w:sz w:val="36"/>
          <w:szCs w:val="36"/>
        </w:rPr>
      </w:pPr>
    </w:p>
    <w:p w14:paraId="53D6101C">
      <w:pPr>
        <w:ind w:firstLine="361" w:firstLineChars="100"/>
        <w:rPr>
          <w:rFonts w:hint="eastAsia" w:ascii="黑体" w:hAnsi="黑体" w:eastAsia="黑体" w:cs="Tahoma"/>
          <w:b/>
          <w:bCs/>
          <w:color w:val="333333"/>
          <w:sz w:val="36"/>
          <w:szCs w:val="36"/>
        </w:rPr>
      </w:pPr>
    </w:p>
    <w:p w14:paraId="0BD505F7">
      <w:pPr>
        <w:rPr>
          <w:rFonts w:hint="eastAsia" w:ascii="黑体" w:hAnsi="黑体" w:eastAsia="黑体" w:cs="Tahoma"/>
          <w:b/>
          <w:bCs/>
          <w:color w:val="333333"/>
          <w:sz w:val="36"/>
          <w:szCs w:val="36"/>
        </w:rPr>
      </w:pPr>
    </w:p>
    <w:p w14:paraId="30550D5F">
      <w:pPr>
        <w:ind w:firstLine="361" w:firstLineChars="100"/>
        <w:rPr>
          <w:rFonts w:hint="eastAsia" w:ascii="黑体" w:hAnsi="黑体" w:eastAsia="黑体" w:cs="Tahoma"/>
          <w:b/>
          <w:bCs/>
          <w:color w:val="333333"/>
          <w:sz w:val="36"/>
          <w:szCs w:val="36"/>
        </w:rPr>
      </w:pPr>
    </w:p>
    <w:p w14:paraId="1F75939B">
      <w:pPr>
        <w:ind w:firstLine="361" w:firstLineChars="100"/>
        <w:rPr>
          <w:rFonts w:hint="eastAsia" w:ascii="黑体" w:hAnsi="黑体" w:eastAsia="黑体" w:cs="Tahoma"/>
          <w:b/>
          <w:bCs/>
          <w:color w:val="333333"/>
          <w:sz w:val="36"/>
          <w:szCs w:val="36"/>
        </w:rPr>
      </w:pPr>
    </w:p>
    <w:p w14:paraId="04F515D6">
      <w:pPr>
        <w:ind w:firstLine="240" w:firstLineChars="1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Features:</w:t>
      </w:r>
    </w:p>
    <w:p w14:paraId="01C91C2A">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7F07B011">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20EA510D">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1F8886CE">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46500F48">
      <w:pPr>
        <w:ind w:firstLine="480" w:firstLineChars="200"/>
        <w:rPr>
          <w:rFonts w:hint="eastAsia" w:ascii="微软雅黑" w:hAnsi="微软雅黑" w:eastAsia="微软雅黑"/>
          <w:color w:val="666666"/>
          <w:sz w:val="24"/>
          <w:szCs w:val="24"/>
          <w:shd w:val="clear" w:color="auto" w:fill="FFFFFF"/>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◇Anti-clamping function: If resistance is encountered during the arm recovery process, the device automatically rebounds or the motor stops operating within a specified time frame, with precise force control.</w:t>
      </w:r>
    </w:p>
    <w:p w14:paraId="221ED3DE">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degree is very small (≤2 kg);</w:t>
      </w:r>
    </w:p>
    <w:p w14:paraId="5C23668B">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4796E03E">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36C82631">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6C91B80B">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the gate opens, the user's current passage permission will be automatically revoked.</w:t>
      </w:r>
    </w:p>
    <w:p w14:paraId="2CF63F25">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By default, the system automatically resets after 10 seconds when enabled.</w:t>
      </w:r>
    </w:p>
    <w:p w14:paraId="0C907DC3">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3B309B73">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3EFAC8F2">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 and exit;</w:t>
      </w:r>
    </w:p>
    <w:p w14:paraId="67FFE17F">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2D0C0C9C">
      <w:pPr>
        <w:rPr>
          <w:rFonts w:hint="eastAsia" w:ascii="微软雅黑" w:hAnsi="微软雅黑" w:eastAsia="微软雅黑"/>
          <w:color w:val="666666"/>
          <w:sz w:val="24"/>
          <w:szCs w:val="24"/>
          <w:shd w:val="clear" w:color="auto" w:fill="FFFFFF"/>
          <w:lang w:eastAsia="zh-CN"/>
        </w:rPr>
      </w:pPr>
    </w:p>
    <w:p w14:paraId="7BC40F5D">
      <w:pPr>
        <w:jc w:val="center"/>
        <w:rPr>
          <w:rFonts w:ascii="微软雅黑" w:hAnsi="微软雅黑" w:eastAsia="微软雅黑"/>
          <w:color w:val="666666"/>
          <w:sz w:val="24"/>
          <w:szCs w:val="24"/>
          <w:shd w:val="clear" w:color="auto" w:fill="FFFFFF"/>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88BB5">
    <w:pPr>
      <w:pStyle w:val="4"/>
      <w:jc w:val="right"/>
      <w:rPr>
        <w:rFonts w:hint="eastAsia" w:eastAsiaTheme="minorEastAsia"/>
        <w:lang w:eastAsia="zh-CN"/>
      </w:rPr>
    </w:pPr>
    <w:r>
      <w:rPr>
        <w:rFonts w:hint="eastAsia" w:eastAsiaTheme="minorEastAsia"/>
        <w:lang w:eastAsia="zh-CN"/>
      </w:rPr>
      <w:drawing>
        <wp:inline distT="0" distB="0" distL="114300" distR="114300">
          <wp:extent cx="1393190" cy="366395"/>
          <wp:effectExtent l="0" t="0" r="3810" b="0"/>
          <wp:docPr id="5" name="图片 5"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KEMSI2"/>
                  <pic:cNvPicPr>
                    <a:picLocks noChangeAspect="1"/>
                  </pic:cNvPicPr>
                </pic:nvPicPr>
                <pic:blipFill>
                  <a:blip r:embed="rId1"/>
                  <a:stretch>
                    <a:fillRect/>
                  </a:stretch>
                </pic:blipFill>
                <pic:spPr>
                  <a:xfrm>
                    <a:off x="0" y="0"/>
                    <a:ext cx="1393190" cy="3663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27293"/>
    <w:rsid w:val="000C1F33"/>
    <w:rsid w:val="000D1840"/>
    <w:rsid w:val="000E27B5"/>
    <w:rsid w:val="0017096E"/>
    <w:rsid w:val="001844F4"/>
    <w:rsid w:val="001C7F25"/>
    <w:rsid w:val="001D1A43"/>
    <w:rsid w:val="001E6222"/>
    <w:rsid w:val="001F6BC8"/>
    <w:rsid w:val="0020668D"/>
    <w:rsid w:val="00214022"/>
    <w:rsid w:val="00270CD4"/>
    <w:rsid w:val="00371604"/>
    <w:rsid w:val="0039169E"/>
    <w:rsid w:val="003C25CB"/>
    <w:rsid w:val="003D0938"/>
    <w:rsid w:val="00411A0C"/>
    <w:rsid w:val="00416676"/>
    <w:rsid w:val="004743CE"/>
    <w:rsid w:val="004C1FBC"/>
    <w:rsid w:val="004C599E"/>
    <w:rsid w:val="004E59BF"/>
    <w:rsid w:val="00500332"/>
    <w:rsid w:val="00515897"/>
    <w:rsid w:val="005A4AD0"/>
    <w:rsid w:val="005B52CB"/>
    <w:rsid w:val="005D58DF"/>
    <w:rsid w:val="00603034"/>
    <w:rsid w:val="0060340C"/>
    <w:rsid w:val="00614209"/>
    <w:rsid w:val="00641049"/>
    <w:rsid w:val="006500D4"/>
    <w:rsid w:val="006925B0"/>
    <w:rsid w:val="006E26FC"/>
    <w:rsid w:val="007054AA"/>
    <w:rsid w:val="007741DA"/>
    <w:rsid w:val="007C1A65"/>
    <w:rsid w:val="008541DC"/>
    <w:rsid w:val="00854EEC"/>
    <w:rsid w:val="0089543B"/>
    <w:rsid w:val="008B65E0"/>
    <w:rsid w:val="008C71DD"/>
    <w:rsid w:val="008C7324"/>
    <w:rsid w:val="008F3B49"/>
    <w:rsid w:val="008F685D"/>
    <w:rsid w:val="008F7F79"/>
    <w:rsid w:val="00904428"/>
    <w:rsid w:val="00924BED"/>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22419"/>
    <w:rsid w:val="00E6026B"/>
    <w:rsid w:val="00EA2D44"/>
    <w:rsid w:val="00EE5F59"/>
    <w:rsid w:val="00F50607"/>
    <w:rsid w:val="00F50BA4"/>
    <w:rsid w:val="00F718C4"/>
    <w:rsid w:val="00F81176"/>
    <w:rsid w:val="00F94835"/>
    <w:rsid w:val="00FF7E42"/>
    <w:rsid w:val="04862D7A"/>
    <w:rsid w:val="07CC05D8"/>
    <w:rsid w:val="0B7373D0"/>
    <w:rsid w:val="0B904506"/>
    <w:rsid w:val="0C395F24"/>
    <w:rsid w:val="0D8323B8"/>
    <w:rsid w:val="0DD26630"/>
    <w:rsid w:val="15F86E50"/>
    <w:rsid w:val="165A53BA"/>
    <w:rsid w:val="16E80C72"/>
    <w:rsid w:val="171A4BA4"/>
    <w:rsid w:val="18AB1F57"/>
    <w:rsid w:val="1ACC4407"/>
    <w:rsid w:val="1BEF2B65"/>
    <w:rsid w:val="1C2071C7"/>
    <w:rsid w:val="2197576F"/>
    <w:rsid w:val="26D0465F"/>
    <w:rsid w:val="2778394C"/>
    <w:rsid w:val="424E43F8"/>
    <w:rsid w:val="426434AC"/>
    <w:rsid w:val="44B6296D"/>
    <w:rsid w:val="45905EAD"/>
    <w:rsid w:val="45E05087"/>
    <w:rsid w:val="47F84402"/>
    <w:rsid w:val="489B0B6C"/>
    <w:rsid w:val="48F64D8D"/>
    <w:rsid w:val="4ABE70FC"/>
    <w:rsid w:val="4D88228C"/>
    <w:rsid w:val="5D683633"/>
    <w:rsid w:val="5E15495D"/>
    <w:rsid w:val="6C532E82"/>
    <w:rsid w:val="6F7D6542"/>
    <w:rsid w:val="7E7458EF"/>
    <w:rsid w:val="7FB61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uiPriority w:val="99"/>
    <w:rPr>
      <w:sz w:val="18"/>
      <w:szCs w:val="18"/>
    </w:rPr>
  </w:style>
  <w:style w:type="character" w:customStyle="1" w:styleId="10">
    <w:name w:val="批注框文本 Char"/>
    <w:basedOn w:val="7"/>
    <w:link w:val="2"/>
    <w:semiHidden/>
    <w:qFormat/>
    <w:uiPriority w:val="99"/>
    <w:rPr>
      <w:sz w:val="18"/>
      <w:szCs w:val="18"/>
    </w:rPr>
  </w:style>
  <w:style w:type="character" w:customStyle="1" w:styleId="11">
    <w:name w:val="apple-converted-space"/>
    <w:basedOn w:val="7"/>
    <w:qFormat/>
    <w:uiPriority w:val="0"/>
  </w:style>
  <w:style w:type="character" w:customStyle="1" w:styleId="12">
    <w:name w:val="页眉 字符"/>
    <w:uiPriority w:val="99"/>
    <w:rPr>
      <w:sz w:val="18"/>
      <w:szCs w:val="18"/>
    </w:rPr>
  </w:style>
  <w:style w:type="paragraph" w:styleId="13">
    <w:name w:val="No Spacing"/>
    <w:link w:val="14"/>
    <w:qFormat/>
    <w:uiPriority w:val="1"/>
    <w:rPr>
      <w:rFonts w:asciiTheme="minorHAnsi" w:hAnsiTheme="minorHAnsi" w:eastAsiaTheme="minorEastAsia" w:cstheme="minorBidi"/>
      <w:kern w:val="0"/>
      <w:sz w:val="22"/>
      <w:szCs w:val="22"/>
      <w:lang w:val="en-US" w:eastAsia="zh-CN" w:bidi="ar-SA"/>
    </w:rPr>
  </w:style>
  <w:style w:type="character" w:customStyle="1" w:styleId="14">
    <w:name w:val="无间隔 Char"/>
    <w:basedOn w:val="7"/>
    <w:link w:val="13"/>
    <w:uiPriority w:val="1"/>
    <w:rPr>
      <w:kern w:val="0"/>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724</Words>
  <Characters>820</Characters>
  <Lines>6</Lines>
  <Paragraphs>1</Paragraphs>
  <TotalTime>0</TotalTime>
  <ScaleCrop>false</ScaleCrop>
  <LinksUpToDate>false</LinksUpToDate>
  <CharactersWithSpaces>901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2021-02-28T11:28:00Z</dcterms:created>
  <dc:creator>JYJ</dc:creator>
  <cp:lastModifiedBy>A通道闸管理系统</cp:lastModifiedBy>
  <cp:lastPrinted>2021-02-28T11:33:00Z</cp:lastPrinted>
  <dcterms:modified xsi:type="dcterms:W3CDTF">2026-05-26T09:29:32Z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69805818E79747EB8651F3C66679005C_13</vt:lpwstr>
  </property>
  <property fmtid="{D5CDD505-2E9C-101B-9397-08002B2CF9AE}" pid="4" name="KSOTemplateDocerSaveRecord">
    <vt:lpwstr>eyJoZGlkIjoiNTk4ZWRiOTU2NTcwZTlkYzk1OWYxN2YzOTNlMTM1ODciLCJ1c2VySWQiOiI1MzA1NzM2NTgifQ==</vt:lpwstr>
  </property>
</Properties>
</file>