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5842C8">
      <w:pPr>
        <w:ind w:firstLine="180" w:firstLineChars="50"/>
        <w:rPr>
          <w:rFonts w:hint="eastAsia" w:ascii="微软雅黑" w:hAnsi="微软雅黑" w:eastAsia="微软雅黑"/>
          <w:b/>
          <w:color w:val="FFFFFF"/>
          <w:sz w:val="36"/>
          <w:szCs w:val="36"/>
          <w:lang w:val="en-US" w:eastAsia="zh-CN"/>
        </w:rPr>
      </w:pPr>
      <w:bookmarkStart w:id="0" w:name="_GoBack"/>
      <w:bookmarkEnd w:id="0"/>
      <w:r>
        <w:rPr>
          <w:rFonts w:ascii="Times New Roman" w:hAnsi="微软雅黑" w:eastAsia="微软雅黑"/>
          <w:b/>
          <w:color w:val="FFFFFF"/>
          <w:sz w:val="36"/>
          <w:szCs w:val="36"/>
        </w:rPr>
        <w:drawing>
          <wp:anchor distT="0" distB="0" distL="114300" distR="114300" simplePos="0" relativeHeight="251660288" behindDoc="1" locked="0" layoutInCell="1" allowOverlap="1">
            <wp:simplePos x="0" y="0"/>
            <wp:positionH relativeFrom="column">
              <wp:posOffset>40005</wp:posOffset>
            </wp:positionH>
            <wp:positionV relativeFrom="paragraph">
              <wp:posOffset>-12700</wp:posOffset>
            </wp:positionV>
            <wp:extent cx="2526030" cy="676275"/>
            <wp:effectExtent l="0" t="0" r="1270" b="9525"/>
            <wp:wrapNone/>
            <wp:docPr id="3" name="图片 3" descr="C:/Users/admin/Documents/ScreenShot_2026-05-06_151436_927.pngScreenShot_2026-05-06_151436_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Documents/ScreenShot_2026-05-06_151436_927.pngScreenShot_2026-05-06_151436_927"/>
                    <pic:cNvPicPr>
                      <a:picLocks noChangeAspect="1" noChangeArrowheads="1"/>
                    </pic:cNvPicPr>
                  </pic:nvPicPr>
                  <pic:blipFill>
                    <a:blip r:embed="rId6"/>
                    <a:srcRect t="3532" b="3532"/>
                    <a:stretch>
                      <a:fillRect/>
                    </a:stretch>
                  </pic:blipFill>
                  <pic:spPr>
                    <a:xfrm>
                      <a:off x="0" y="0"/>
                      <a:ext cx="2526030" cy="676275"/>
                    </a:xfrm>
                    <a:prstGeom prst="rect">
                      <a:avLst/>
                    </a:prstGeom>
                    <a:noFill/>
                    <a:ln>
                      <a:noFill/>
                    </a:ln>
                  </pic:spPr>
                </pic:pic>
              </a:graphicData>
            </a:graphic>
          </wp:anchor>
        </w:drawing>
      </w:r>
      <w:r>
        <w:rPr>
          <w:rFonts w:hint="eastAsia" w:ascii="Times New Roman" w:hAnsi="微软雅黑" w:eastAsia="微软雅黑" w:cs="Times New Roman"/>
          <w:b/>
          <w:color w:val="FFFFFF"/>
          <w:kern w:val="2"/>
          <w:sz w:val="36"/>
          <w:szCs w:val="36"/>
          <w:lang w:val="en-US" w:eastAsia="zh-CN" w:bidi="ar-SA"/>
        </w:rPr>
        <w:t>KMS-Z2515D</w:t>
      </w:r>
    </w:p>
    <w:p w14:paraId="7FE900D9">
      <w:pPr>
        <w:ind w:firstLine="90" w:firstLineChars="50"/>
        <w:rPr>
          <w:rFonts w:hint="eastAsia" w:ascii="微软雅黑" w:hAnsi="微软雅黑" w:eastAsia="微软雅黑"/>
          <w:color w:val="FFFFFF"/>
          <w:sz w:val="18"/>
          <w:szCs w:val="21"/>
          <w:lang w:eastAsia="zh-CN"/>
        </w:rPr>
      </w:pPr>
      <w:r>
        <w:rPr>
          <w:rFonts w:hint="eastAsia" w:ascii="Times New Roman" w:hAnsi="微软雅黑" w:eastAsia="微软雅黑" w:cs="Times New Roman"/>
          <w:color w:val="FFFFFF"/>
          <w:kern w:val="2"/>
          <w:sz w:val="18"/>
          <w:szCs w:val="21"/>
          <w:lang w:val="en-US" w:eastAsia="zh-CN" w:bidi="ar-SA"/>
        </w:rPr>
        <w:t>Full-height gate with single-channel revolving door</w:t>
      </w:r>
    </w:p>
    <w:p w14:paraId="3B842ECC">
      <w:pPr>
        <w:pStyle w:val="10"/>
        <w:ind w:firstLine="0" w:firstLineChars="0"/>
        <w:jc w:val="left"/>
        <w:outlineLvl w:val="0"/>
        <w:rPr>
          <w:rFonts w:ascii="Times New Roman" w:hAnsi="Times New Roman"/>
          <w:sz w:val="18"/>
          <w:szCs w:val="18"/>
        </w:rPr>
      </w:pPr>
      <w:r>
        <mc:AlternateContent>
          <mc:Choice Requires="wps">
            <w:drawing>
              <wp:anchor distT="45720" distB="45720" distL="114300" distR="114300" simplePos="0" relativeHeight="251659264" behindDoc="0" locked="0" layoutInCell="1" allowOverlap="1">
                <wp:simplePos x="0" y="0"/>
                <wp:positionH relativeFrom="column">
                  <wp:posOffset>3461385</wp:posOffset>
                </wp:positionH>
                <wp:positionV relativeFrom="paragraph">
                  <wp:posOffset>145415</wp:posOffset>
                </wp:positionV>
                <wp:extent cx="3140710" cy="2072640"/>
                <wp:effectExtent l="3810" t="2540" r="0" b="1270"/>
                <wp:wrapSquare wrapText="bothSides"/>
                <wp:docPr id="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140710" cy="2072640"/>
                        </a:xfrm>
                        <a:prstGeom prst="rect">
                          <a:avLst/>
                        </a:prstGeom>
                        <a:solidFill>
                          <a:srgbClr val="FFFFFF"/>
                        </a:solidFill>
                        <a:ln>
                          <a:noFill/>
                        </a:ln>
                      </wps:spPr>
                      <wps:txbx>
                        <w:txbxContent>
                          <w:p w14:paraId="03652CEC"/>
                        </w:txbxContent>
                      </wps:txbx>
                      <wps:bodyPr rot="0" vert="horz" wrap="non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272.55pt;margin-top:11.45pt;height:163.2pt;width:247.3pt;mso-wrap-distance-bottom:3.6pt;mso-wrap-distance-left:9pt;mso-wrap-distance-right:9pt;mso-wrap-distance-top:3.6pt;mso-wrap-style:none;z-index:251659264;mso-width-relative:page;mso-height-relative:margin;mso-height-percent:200;" fillcolor="#FFFFFF" filled="t" stroked="f" coordsize="21600,21600" o:gfxdata="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CHlGrdgAAAALAQAADwAAAAAAAAABACAAAAAiAAAAZHJzL2Rvd25yZXYueG1sUEsBAhQAFAAA&#10;AAgAh07iQK884OcoAgAAPQQAAA4AAAAAAAAAAQAgAAAAJwEAAGRycy9lMm9Eb2MueG1sUEsFBgAA&#10;AAAGAAYAWQEAAMEFAAAAAA==&#10;">
                <v:fill on="t" focussize="0,0"/>
                <v:stroke on="f"/>
                <v:imagedata o:title=""/>
                <o:lock v:ext="edit" aspectratio="f"/>
                <v:textbox style="mso-fit-shape-to-text:t;">
                  <w:txbxContent>
                    <w:p w14:paraId="03652CEC"/>
                  </w:txbxContent>
                </v:textbox>
                <w10:wrap type="square"/>
              </v:shape>
            </w:pict>
          </mc:Fallback>
        </mc:AlternateContent>
      </w:r>
    </w:p>
    <w:p w14:paraId="725F4C58">
      <w:pPr>
        <w:ind w:right="460" w:rightChars="219"/>
        <w:rPr>
          <w:rFonts w:hint="eastAsia" w:ascii="宋体" w:hAnsi="宋体" w:eastAsia="微软雅黑"/>
          <w:sz w:val="18"/>
          <w:szCs w:val="15"/>
          <w:lang w:eastAsia="zh-CN"/>
        </w:rPr>
      </w:pPr>
      <w:r>
        <w:rPr>
          <w:rFonts w:ascii="Times New Roman" w:hAnsi="微软雅黑" w:eastAsia="微软雅黑"/>
          <w:b/>
          <w:color w:val="FFFFFF"/>
          <w:sz w:val="36"/>
          <w:szCs w:val="36"/>
        </w:rPr>
        <w:drawing>
          <wp:anchor distT="0" distB="0" distL="114300" distR="114300" simplePos="0" relativeHeight="251661312" behindDoc="0" locked="0" layoutInCell="1" allowOverlap="1">
            <wp:simplePos x="0" y="0"/>
            <wp:positionH relativeFrom="column">
              <wp:posOffset>3533140</wp:posOffset>
            </wp:positionH>
            <wp:positionV relativeFrom="paragraph">
              <wp:posOffset>75565</wp:posOffset>
            </wp:positionV>
            <wp:extent cx="2324735" cy="4011295"/>
            <wp:effectExtent l="0" t="0" r="0" b="0"/>
            <wp:wrapSquare wrapText="bothSides"/>
            <wp:docPr id="5" name="图片 5" descr="E:/科迈思智能/报价单/KeyShot 5/Renderings/产品图2026/转闸/KMS-Z2515/KMS-Z2515.979.pngKMS-Z2515.9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科迈思智能/报价单/KeyShot 5/Renderings/产品图2026/转闸/KMS-Z2515/KMS-Z2515.979.pngKMS-Z2515.979"/>
                    <pic:cNvPicPr>
                      <a:picLocks noChangeAspect="1" noChangeArrowheads="1"/>
                    </pic:cNvPicPr>
                  </pic:nvPicPr>
                  <pic:blipFill>
                    <a:blip r:embed="rId7"/>
                    <a:srcRect l="33018" t="17829" r="26623" b="12596"/>
                    <a:stretch>
                      <a:fillRect/>
                    </a:stretch>
                  </pic:blipFill>
                  <pic:spPr>
                    <a:xfrm>
                      <a:off x="0" y="0"/>
                      <a:ext cx="2324735" cy="4011295"/>
                    </a:xfrm>
                    <a:prstGeom prst="roundRect">
                      <a:avLst/>
                    </a:prstGeom>
                    <a:noFill/>
                    <a:ln>
                      <a:noFill/>
                    </a:ln>
                  </pic:spPr>
                </pic:pic>
              </a:graphicData>
            </a:graphic>
          </wp:anchor>
        </w:drawing>
      </w:r>
      <w:r>
        <w:rPr>
          <w:rFonts w:hint="eastAsia" w:ascii="Times New Roman" w:hAnsi="宋体" w:eastAsia="微软雅黑" w:cs="Times New Roman"/>
          <w:kern w:val="2"/>
          <w:sz w:val="18"/>
          <w:szCs w:val="15"/>
          <w:lang w:val="en-US" w:eastAsia="zh-CN" w:bidi="ar-SA"/>
        </w:rPr>
        <w:t>The KMS-Z2515D is designed for strictly regulated areas, effectively preventing unauthorized climbing and tunneling. When personnel pass through the turnstile, access control systems deny entry to unauthorized individuals; if permission is granted, the turnstile automatically releases passage. It is widely used for entry and exit control in basketball courts, gyms, construction sites, factories, residential complexes, campuses, and venues.</w:t>
      </w:r>
    </w:p>
    <w:p w14:paraId="012632AC">
      <w:pPr>
        <w:rPr>
          <w:rFonts w:hint="eastAsia" w:ascii="宋体" w:hAnsi="宋体" w:eastAsia="宋体" w:cs="Arial"/>
          <w:spacing w:val="-7"/>
          <w:sz w:val="18"/>
          <w:szCs w:val="18"/>
          <w:lang w:eastAsia="zh-CN"/>
        </w:rPr>
      </w:pPr>
      <w:r>
        <w:rPr>
          <w:rFonts w:hint="eastAsia" w:ascii="Times New Roman" w:hAnsi="宋体" w:eastAsia="微软雅黑" w:cs="Times New Roman"/>
          <w:kern w:val="2"/>
          <w:sz w:val="18"/>
          <w:szCs w:val="18"/>
          <w:lang w:val="en-US" w:eastAsia="zh-CN" w:bidi="ar-SA"/>
        </w:rPr>
        <w:t xml:space="preserve"> </w:t>
      </w:r>
    </w:p>
    <w:p w14:paraId="4A10A6CD">
      <w:pPr>
        <w:rPr>
          <w:sz w:val="18"/>
          <w:szCs w:val="18"/>
        </w:rPr>
      </w:pPr>
    </w:p>
    <w:p w14:paraId="2D7F9FDD">
      <w:pPr>
        <w:rPr>
          <w:b/>
          <w:sz w:val="24"/>
          <w:shd w:val="pct10" w:color="auto" w:fill="FFFFFF"/>
        </w:rPr>
      </w:pPr>
    </w:p>
    <w:p w14:paraId="470358F6">
      <w:pPr>
        <w:rPr>
          <w:rFonts w:hint="eastAsia" w:ascii="宋体" w:hAnsi="宋体" w:cs="宋体"/>
          <w:b/>
          <w:bCs/>
          <w:sz w:val="24"/>
          <w:szCs w:val="24"/>
          <w:lang w:val="en-US" w:eastAsia="zh-CN"/>
        </w:rPr>
      </w:pPr>
    </w:p>
    <w:p w14:paraId="1D889941">
      <w:pPr>
        <w:rPr>
          <w:rFonts w:hint="eastAsia" w:ascii="宋体" w:hAnsi="宋体" w:cs="宋体"/>
          <w:b/>
          <w:bCs/>
          <w:sz w:val="24"/>
          <w:szCs w:val="24"/>
          <w:lang w:val="en-US" w:eastAsia="zh-CN"/>
        </w:rPr>
      </w:pPr>
    </w:p>
    <w:p w14:paraId="14E49857">
      <w:pPr>
        <w:rPr>
          <w:rFonts w:hint="eastAsia" w:ascii="宋体" w:hAnsi="宋体" w:cs="宋体"/>
          <w:b/>
          <w:bCs/>
          <w:sz w:val="24"/>
          <w:szCs w:val="24"/>
          <w:lang w:val="en-US" w:eastAsia="zh-CN"/>
        </w:rPr>
      </w:pPr>
    </w:p>
    <w:p w14:paraId="252A75C2">
      <w:pPr>
        <w:rPr>
          <w:rFonts w:hint="eastAsia" w:ascii="宋体" w:hAnsi="宋体" w:cs="宋体"/>
          <w:b/>
          <w:bCs/>
          <w:sz w:val="24"/>
          <w:szCs w:val="24"/>
          <w:lang w:val="en-US" w:eastAsia="zh-CN"/>
        </w:rPr>
      </w:pPr>
    </w:p>
    <w:p w14:paraId="1475EDE7">
      <w:pPr>
        <w:rPr>
          <w:rFonts w:hint="eastAsia" w:ascii="宋体" w:hAnsi="宋体" w:cs="宋体"/>
          <w:b/>
          <w:bCs/>
          <w:sz w:val="24"/>
          <w:szCs w:val="24"/>
          <w:lang w:val="en-US" w:eastAsia="zh-CN"/>
        </w:rPr>
      </w:pPr>
    </w:p>
    <w:p w14:paraId="31A0EBC8">
      <w:pPr>
        <w:rPr>
          <w:rFonts w:hint="eastAsia" w:ascii="宋体" w:hAnsi="宋体" w:cs="宋体"/>
          <w:b/>
          <w:bCs/>
          <w:sz w:val="24"/>
          <w:szCs w:val="24"/>
          <w:lang w:val="en-US" w:eastAsia="zh-CN"/>
        </w:rPr>
      </w:pPr>
    </w:p>
    <w:p w14:paraId="790622CF">
      <w:pPr>
        <w:rPr>
          <w:rFonts w:hint="eastAsia" w:ascii="宋体" w:hAnsi="宋体" w:cs="宋体"/>
          <w:b/>
          <w:bCs/>
          <w:sz w:val="24"/>
          <w:szCs w:val="24"/>
          <w:lang w:val="en-US" w:eastAsia="zh-CN"/>
        </w:rPr>
      </w:pPr>
    </w:p>
    <w:p w14:paraId="519A096D">
      <w:pPr>
        <w:rPr>
          <w:rFonts w:hint="eastAsia" w:ascii="宋体" w:hAnsi="宋体" w:cs="宋体"/>
          <w:b/>
          <w:bCs/>
          <w:sz w:val="24"/>
          <w:szCs w:val="24"/>
          <w:lang w:val="en-US" w:eastAsia="zh-CN"/>
        </w:rPr>
      </w:pPr>
    </w:p>
    <w:p w14:paraId="5D89DF53">
      <w:pPr>
        <w:rPr>
          <w:rFonts w:hint="eastAsia" w:ascii="宋体" w:hAnsi="宋体" w:cs="宋体"/>
          <w:b/>
          <w:bCs/>
          <w:sz w:val="24"/>
          <w:szCs w:val="24"/>
          <w:lang w:val="en-US" w:eastAsia="zh-CN"/>
        </w:rPr>
      </w:pPr>
    </w:p>
    <w:p w14:paraId="26143AE7">
      <w:pPr>
        <w:rPr>
          <w:rFonts w:hint="eastAsia" w:ascii="宋体" w:hAnsi="宋体" w:cs="宋体"/>
          <w:b/>
          <w:bCs/>
          <w:sz w:val="24"/>
          <w:szCs w:val="24"/>
          <w:lang w:val="en-US" w:eastAsia="zh-CN"/>
        </w:rPr>
      </w:pPr>
    </w:p>
    <w:p w14:paraId="3ACE957B">
      <w:pPr>
        <w:rPr>
          <w:rFonts w:hint="eastAsia" w:ascii="宋体" w:hAnsi="宋体" w:cs="宋体"/>
          <w:b/>
          <w:bCs/>
          <w:sz w:val="24"/>
          <w:szCs w:val="24"/>
          <w:lang w:val="en-US" w:eastAsia="zh-CN"/>
        </w:rPr>
      </w:pPr>
    </w:p>
    <w:p w14:paraId="070B6B65">
      <w:pPr>
        <w:rPr>
          <w:rFonts w:hint="eastAsia" w:ascii="宋体" w:hAnsi="宋体" w:cs="宋体"/>
          <w:b/>
          <w:bCs/>
          <w:sz w:val="24"/>
          <w:szCs w:val="24"/>
          <w:lang w:val="en-US" w:eastAsia="zh-CN"/>
        </w:rPr>
      </w:pPr>
    </w:p>
    <w:p w14:paraId="7BDD826A">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Order model:</w:t>
      </w:r>
    </w:p>
    <w:p w14:paraId="5F8F8BDA">
      <w:pPr>
        <w:rPr>
          <w:rFonts w:hint="default" w:ascii="宋体" w:hAnsi="宋体" w:cs="宋体"/>
          <w:b/>
          <w:bCs/>
          <w:sz w:val="24"/>
          <w:szCs w:val="24"/>
          <w:lang w:val="en-US" w:eastAsia="zh-C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1404"/>
        <w:gridCol w:w="3618"/>
      </w:tblGrid>
      <w:tr w14:paraId="675FE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7C304BF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model</w:t>
            </w:r>
          </w:p>
        </w:tc>
        <w:tc>
          <w:tcPr>
            <w:tcW w:w="1404" w:type="dxa"/>
          </w:tcPr>
          <w:p w14:paraId="31FE0D38">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Material Code</w:t>
            </w:r>
          </w:p>
        </w:tc>
        <w:tc>
          <w:tcPr>
            <w:tcW w:w="3618" w:type="dxa"/>
          </w:tcPr>
          <w:p w14:paraId="796EEE5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remarks</w:t>
            </w:r>
          </w:p>
        </w:tc>
      </w:tr>
      <w:tr w14:paraId="43F75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4D188EE2">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KMS-Z2515D-90/Pg-Dm55</w:t>
            </w:r>
          </w:p>
        </w:tc>
        <w:tc>
          <w:tcPr>
            <w:tcW w:w="1404" w:type="dxa"/>
          </w:tcPr>
          <w:p w14:paraId="213DDD1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201600494</w:t>
            </w:r>
          </w:p>
        </w:tc>
        <w:tc>
          <w:tcPr>
            <w:tcW w:w="3618" w:type="dxa"/>
          </w:tcPr>
          <w:p w14:paraId="356C076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With wall-mounted mounting holes; the facial recognition device requires a separate accessory.</w:t>
            </w:r>
          </w:p>
        </w:tc>
      </w:tr>
      <w:tr w14:paraId="7EB8B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47" w:type="dxa"/>
          </w:tcPr>
          <w:p w14:paraId="5191F2CC">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KMS-Z2515D-90/M-Dm55-I</w:t>
            </w:r>
          </w:p>
        </w:tc>
        <w:tc>
          <w:tcPr>
            <w:tcW w:w="1404" w:type="dxa"/>
          </w:tcPr>
          <w:p w14:paraId="6F44330E">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201600495</w:t>
            </w:r>
          </w:p>
        </w:tc>
        <w:tc>
          <w:tcPr>
            <w:tcW w:w="3618" w:type="dxa"/>
          </w:tcPr>
          <w:p w14:paraId="2311E277">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IC card reader with built-in 2602X-AI motherboard and card reader kit</w:t>
            </w:r>
          </w:p>
        </w:tc>
      </w:tr>
    </w:tbl>
    <w:p w14:paraId="5E07DB07">
      <w:pPr>
        <w:rPr>
          <w:rFonts w:hint="eastAsia" w:ascii="宋体" w:hAnsi="宋体" w:cs="宋体"/>
          <w:b/>
          <w:bCs/>
          <w:sz w:val="24"/>
          <w:szCs w:val="24"/>
          <w:lang w:val="en-US" w:eastAsia="zh-CN"/>
        </w:rPr>
      </w:pPr>
    </w:p>
    <w:p w14:paraId="7A40472F">
      <w:pPr>
        <w:rPr>
          <w:rFonts w:hint="eastAsia" w:ascii="宋体" w:hAnsi="宋体" w:cs="宋体"/>
          <w:b/>
          <w:bCs/>
          <w:sz w:val="24"/>
          <w:szCs w:val="24"/>
          <w:lang w:val="en-US" w:eastAsia="zh-CN"/>
        </w:rPr>
      </w:pPr>
    </w:p>
    <w:p w14:paraId="49F0B165">
      <w:pPr>
        <w:rPr>
          <w:rFonts w:hint="eastAsia" w:ascii="宋体" w:hAnsi="宋体" w:cs="宋体"/>
          <w:b/>
          <w:bCs/>
          <w:sz w:val="24"/>
          <w:szCs w:val="24"/>
          <w:lang w:val="en-US" w:eastAsia="zh-CN"/>
        </w:rPr>
      </w:pPr>
    </w:p>
    <w:p w14:paraId="7A420E5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features ：</w:t>
      </w:r>
    </w:p>
    <w:p w14:paraId="1FF4D3CB">
      <w:pPr>
        <w:rPr>
          <w:b/>
          <w:sz w:val="24"/>
          <w:shd w:val="pct10" w:color="auto" w:fill="FFFFFF"/>
        </w:rPr>
      </w:pPr>
    </w:p>
    <w:p w14:paraId="61AF3805">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movement features a unique mechanical structure, with a rational and reliable design that produces low noise, ensures smooth operation, and offers a long service life.</w:t>
      </w:r>
    </w:p>
    <w:p w14:paraId="0B9A566D">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bidirectional passage capability, with the gate rod steering available in both two-way and one-way configurations.</w:t>
      </w:r>
    </w:p>
    <w:p w14:paraId="69497DB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After a power outage, the door unlocks automatically and switches to mechanical mode, allowing personnel to enter and exit freely while meeting fire safety requirements.</w:t>
      </w:r>
    </w:p>
    <w:p w14:paraId="75797B7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 bidirectional arrow indicator shows the traffic status.</w:t>
      </w:r>
    </w:p>
    <w:p w14:paraId="5B0FF3F9">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an automatic reset function: once permission to pass through the gate is granted, if the user fails to pass within the specified time, the full-height gate automatically cancels the permission and returns to its initial state.</w:t>
      </w:r>
    </w:p>
    <w:p w14:paraId="69C2A207">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Waterproof, sun-resistant, cold-resistant, and heat-resistant.</w:t>
      </w:r>
    </w:p>
    <w:p w14:paraId="55C24EE4">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can be expanded into an automated identity recognition system to implement functions such as access control and attendance management.</w:t>
      </w:r>
    </w:p>
    <w:p w14:paraId="4FD034C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Support memory modes, such as swiping the valid card five times and passing through five people.</w:t>
      </w:r>
    </w:p>
    <w:p w14:paraId="2001A7B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passage delay time can be adjusted via the dial code.</w:t>
      </w:r>
    </w:p>
    <w:p w14:paraId="5A556917">
      <w:pPr>
        <w:pStyle w:val="10"/>
        <w:ind w:firstLine="0" w:firstLineChars="0"/>
        <w:jc w:val="left"/>
        <w:rPr>
          <w:rFonts w:ascii="宋体" w:hAnsi="宋体"/>
          <w:sz w:val="18"/>
          <w:szCs w:val="15"/>
        </w:rPr>
      </w:pPr>
    </w:p>
    <w:p w14:paraId="3D81D17C">
      <w:pPr>
        <w:rPr>
          <w:b/>
          <w:sz w:val="24"/>
          <w:shd w:val="pct10" w:color="auto" w:fill="FFFFFF"/>
        </w:rPr>
      </w:pPr>
      <w:r>
        <w:rPr>
          <w:rFonts w:hint="eastAsia" w:ascii="Times New Roman" w:hAnsi="宋体" w:eastAsia="微软雅黑" w:cs="宋体"/>
          <w:b/>
          <w:bCs/>
          <w:kern w:val="2"/>
          <w:sz w:val="24"/>
          <w:szCs w:val="24"/>
          <w:lang w:val="en-US" w:eastAsia="zh-CN" w:bidi="ar-SA"/>
        </w:rPr>
        <w:t>technical parameter ：</w:t>
      </w:r>
    </w:p>
    <w:tbl>
      <w:tblPr>
        <w:tblStyle w:val="5"/>
        <w:tblW w:w="7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1"/>
        <w:gridCol w:w="4922"/>
      </w:tblGrid>
      <w:tr w14:paraId="1C59E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20C72BC">
            <w:pPr>
              <w:widowControl/>
              <w:jc w:val="left"/>
              <w:rPr>
                <w:rFonts w:hint="eastAsia" w:ascii="宋体" w:hAnsi="宋体" w:eastAsia="宋体" w:cs="宋体"/>
                <w:b/>
                <w:bCs/>
                <w:kern w:val="0"/>
                <w:sz w:val="18"/>
                <w:szCs w:val="18"/>
                <w:lang w:eastAsia="zh-CN"/>
              </w:rPr>
            </w:pPr>
            <w:r>
              <w:rPr>
                <w:rFonts w:hint="eastAsia" w:ascii="Times New Roman" w:hAnsi="宋体" w:eastAsia="微软雅黑" w:cs="宋体"/>
                <w:b/>
                <w:bCs/>
                <w:kern w:val="0"/>
                <w:sz w:val="18"/>
                <w:szCs w:val="18"/>
                <w:lang w:val="en-US" w:eastAsia="zh-CN" w:bidi="ar-SA"/>
              </w:rPr>
              <w:t>product model</w:t>
            </w:r>
          </w:p>
        </w:tc>
        <w:tc>
          <w:tcPr>
            <w:tcW w:w="4922" w:type="dxa"/>
            <w:shd w:val="clear" w:color="auto" w:fill="auto"/>
            <w:vAlign w:val="center"/>
          </w:tcPr>
          <w:p w14:paraId="44732614">
            <w:pPr>
              <w:widowControl/>
              <w:jc w:val="left"/>
              <w:rPr>
                <w:rFonts w:ascii="宋体" w:hAnsi="宋体"/>
                <w:b/>
                <w:kern w:val="0"/>
                <w:sz w:val="18"/>
                <w:szCs w:val="18"/>
              </w:rPr>
            </w:pPr>
            <w:r>
              <w:rPr>
                <w:rFonts w:hint="eastAsia" w:ascii="Times New Roman" w:hAnsi="宋体" w:eastAsia="微软雅黑" w:cs="Times New Roman"/>
                <w:kern w:val="2"/>
                <w:sz w:val="18"/>
                <w:szCs w:val="15"/>
                <w:lang w:val="en-US" w:eastAsia="zh-CN" w:bidi="ar-SA"/>
              </w:rPr>
              <w:t>KMS-Z2515D</w:t>
            </w:r>
          </w:p>
        </w:tc>
      </w:tr>
      <w:tr w14:paraId="36D7C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C4C9207">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physical interface</w:t>
            </w:r>
          </w:p>
        </w:tc>
        <w:tc>
          <w:tcPr>
            <w:tcW w:w="4922" w:type="dxa"/>
            <w:shd w:val="clear" w:color="auto" w:fill="auto"/>
            <w:vAlign w:val="center"/>
          </w:tcPr>
          <w:p w14:paraId="4C4A354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I/O,RS485</w:t>
            </w:r>
          </w:p>
        </w:tc>
      </w:tr>
      <w:tr w14:paraId="7B76C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9FEF93C">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Passage Rate</w:t>
            </w:r>
          </w:p>
        </w:tc>
        <w:tc>
          <w:tcPr>
            <w:tcW w:w="4922" w:type="dxa"/>
            <w:shd w:val="clear" w:color="auto" w:fill="auto"/>
            <w:vAlign w:val="center"/>
          </w:tcPr>
          <w:p w14:paraId="7AD588E8">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30 people per minute; the actual throughput rate is influenced by personnel availability and traffic patterns.</w:t>
            </w:r>
          </w:p>
        </w:tc>
      </w:tr>
      <w:tr w14:paraId="1EEC7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6365E6B5">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Channel width</w:t>
            </w:r>
          </w:p>
        </w:tc>
        <w:tc>
          <w:tcPr>
            <w:tcW w:w="4922" w:type="dxa"/>
            <w:shd w:val="clear" w:color="auto" w:fill="auto"/>
            <w:vAlign w:val="center"/>
          </w:tcPr>
          <w:p w14:paraId="56F09CDD">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600mm</w:t>
            </w:r>
          </w:p>
        </w:tc>
      </w:tr>
      <w:tr w14:paraId="21B83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EF5630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Single rotation angle</w:t>
            </w:r>
          </w:p>
        </w:tc>
        <w:tc>
          <w:tcPr>
            <w:tcW w:w="4922" w:type="dxa"/>
            <w:shd w:val="clear" w:color="auto" w:fill="auto"/>
            <w:vAlign w:val="center"/>
          </w:tcPr>
          <w:p w14:paraId="28DC71C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90°</w:t>
            </w:r>
          </w:p>
        </w:tc>
      </w:tr>
      <w:tr w14:paraId="6976F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399A63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Door panel material</w:t>
            </w:r>
          </w:p>
        </w:tc>
        <w:tc>
          <w:tcPr>
            <w:tcW w:w="4922" w:type="dxa"/>
            <w:shd w:val="clear" w:color="auto" w:fill="auto"/>
            <w:vAlign w:val="center"/>
          </w:tcPr>
          <w:p w14:paraId="531F4F85">
            <w:pPr>
              <w:widowControl/>
              <w:jc w:val="left"/>
              <w:rPr>
                <w:rFonts w:hint="default" w:ascii="宋体" w:hAnsi="宋体" w:eastAsia="宋体"/>
                <w:kern w:val="0"/>
                <w:sz w:val="18"/>
                <w:szCs w:val="18"/>
                <w:highlight w:val="yellow"/>
                <w:lang w:val="en-US" w:eastAsia="zh-CN"/>
              </w:rPr>
            </w:pPr>
            <w:r>
              <w:rPr>
                <w:rFonts w:hint="eastAsia" w:ascii="Times New Roman" w:hAnsi="宋体" w:eastAsia="微软雅黑" w:cs="Times New Roman"/>
                <w:kern w:val="0"/>
                <w:sz w:val="18"/>
                <w:szCs w:val="18"/>
                <w:lang w:val="en-US" w:eastAsia="zh-CN" w:bidi="ar-SA"/>
              </w:rPr>
              <w:t>304 stainless steel round pipe / 201 stainless steel painted</w:t>
            </w:r>
          </w:p>
        </w:tc>
      </w:tr>
      <w:tr w14:paraId="6BCEC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0038AE9F">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Channel Box Body</w:t>
            </w:r>
          </w:p>
        </w:tc>
        <w:tc>
          <w:tcPr>
            <w:tcW w:w="4922" w:type="dxa"/>
            <w:shd w:val="clear" w:color="auto" w:fill="auto"/>
            <w:vAlign w:val="center"/>
          </w:tcPr>
          <w:p w14:paraId="59897F41">
            <w:pPr>
              <w:widowControl/>
              <w:jc w:val="left"/>
              <w:rPr>
                <w:rFonts w:hint="eastAsia" w:ascii="宋体" w:hAnsi="宋体" w:eastAsia="宋体"/>
                <w:kern w:val="0"/>
                <w:sz w:val="18"/>
                <w:szCs w:val="18"/>
                <w:highlight w:val="yellow"/>
                <w:lang w:eastAsia="zh-CN"/>
              </w:rPr>
            </w:pPr>
            <w:r>
              <w:rPr>
                <w:rFonts w:hint="eastAsia" w:ascii="Times New Roman" w:hAnsi="宋体" w:eastAsia="微软雅黑" w:cs="Times New Roman"/>
                <w:kern w:val="0"/>
                <w:sz w:val="18"/>
                <w:szCs w:val="18"/>
                <w:lang w:val="en-US" w:eastAsia="zh-CN" w:bidi="ar-SA"/>
              </w:rPr>
              <w:t>SUS304 stainless steel/stainless steel 201 painted; wall thickness: 1.2 mm; 38mm steel pipe</w:t>
            </w:r>
          </w:p>
        </w:tc>
      </w:tr>
      <w:tr w14:paraId="41300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7A6C89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size</w:t>
            </w:r>
          </w:p>
        </w:tc>
        <w:tc>
          <w:tcPr>
            <w:tcW w:w="4922" w:type="dxa"/>
            <w:shd w:val="clear" w:color="auto" w:fill="auto"/>
            <w:vAlign w:val="center"/>
          </w:tcPr>
          <w:p w14:paraId="3AA4076D">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Φ1500mm**2380mm</w:t>
            </w:r>
          </w:p>
        </w:tc>
      </w:tr>
      <w:tr w14:paraId="51DD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2C4D000">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input voltage</w:t>
            </w:r>
          </w:p>
        </w:tc>
        <w:tc>
          <w:tcPr>
            <w:tcW w:w="4922" w:type="dxa"/>
            <w:shd w:val="clear" w:color="auto" w:fill="auto"/>
            <w:vAlign w:val="center"/>
          </w:tcPr>
          <w:p w14:paraId="4E8544EA">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220V±10%</w:t>
            </w:r>
          </w:p>
        </w:tc>
      </w:tr>
      <w:tr w14:paraId="24517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E7EA719">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temperature</w:t>
            </w:r>
          </w:p>
        </w:tc>
        <w:tc>
          <w:tcPr>
            <w:tcW w:w="4922" w:type="dxa"/>
            <w:shd w:val="clear" w:color="auto" w:fill="auto"/>
            <w:vAlign w:val="center"/>
          </w:tcPr>
          <w:p w14:paraId="3F9939F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-20℃~65℃</w:t>
            </w:r>
          </w:p>
        </w:tc>
      </w:tr>
      <w:tr w14:paraId="25460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AD00318">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humidity</w:t>
            </w:r>
          </w:p>
        </w:tc>
        <w:tc>
          <w:tcPr>
            <w:tcW w:w="4922" w:type="dxa"/>
            <w:shd w:val="clear" w:color="auto" w:fill="auto"/>
            <w:vAlign w:val="center"/>
          </w:tcPr>
          <w:p w14:paraId="453BCB9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10%-95% (in the absence of condensed water droplets)</w:t>
            </w:r>
          </w:p>
        </w:tc>
      </w:tr>
      <w:tr w14:paraId="780EB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5250ABB">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 environment</w:t>
            </w:r>
          </w:p>
        </w:tc>
        <w:tc>
          <w:tcPr>
            <w:tcW w:w="4922" w:type="dxa"/>
            <w:shd w:val="clear" w:color="auto" w:fill="auto"/>
            <w:vAlign w:val="center"/>
          </w:tcPr>
          <w:p w14:paraId="7C657AA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Indoor and outdoor</w:t>
            </w:r>
          </w:p>
        </w:tc>
      </w:tr>
      <w:tr w14:paraId="5CE25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9AE2F1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plant capacity</w:t>
            </w:r>
          </w:p>
        </w:tc>
        <w:tc>
          <w:tcPr>
            <w:tcW w:w="4922" w:type="dxa"/>
            <w:shd w:val="clear" w:color="auto" w:fill="auto"/>
            <w:vAlign w:val="center"/>
          </w:tcPr>
          <w:p w14:paraId="576AF72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50W</w:t>
            </w:r>
          </w:p>
        </w:tc>
      </w:tr>
    </w:tbl>
    <w:p w14:paraId="57BC9B26">
      <w:pPr>
        <w:pStyle w:val="12"/>
        <w:numPr>
          <w:ilvl w:val="0"/>
          <w:numId w:val="0"/>
        </w:numPr>
      </w:pPr>
    </w:p>
    <w:p w14:paraId="71682DFB">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size ：</w:t>
      </w:r>
    </w:p>
    <w:p w14:paraId="0C90BA4F">
      <w:pPr>
        <w:ind w:firstLine="120" w:firstLineChars="50"/>
        <w:rPr>
          <w:rFonts w:hint="eastAsia" w:eastAsia="宋体"/>
          <w:b/>
          <w:sz w:val="24"/>
          <w:shd w:val="pct10" w:color="auto" w:fill="FFFFFF"/>
          <w:lang w:eastAsia="zh-CN"/>
        </w:rPr>
      </w:pPr>
      <w:r>
        <w:rPr>
          <w:rFonts w:hint="eastAsia" w:eastAsia="宋体"/>
          <w:b/>
          <w:sz w:val="24"/>
          <w:shd w:val="pct10" w:color="auto" w:fill="FFFFFF"/>
          <w:lang w:eastAsia="zh-CN"/>
        </w:rPr>
        <w:drawing>
          <wp:inline distT="0" distB="0" distL="114300" distR="114300">
            <wp:extent cx="4487545" cy="5321935"/>
            <wp:effectExtent l="0" t="0" r="8255" b="12065"/>
            <wp:docPr id="1" name="图片 1" descr="KMS-Z2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KMS-Z2515"/>
                    <pic:cNvPicPr>
                      <a:picLocks noChangeAspect="1"/>
                    </pic:cNvPicPr>
                  </pic:nvPicPr>
                  <pic:blipFill>
                    <a:blip r:embed="rId8"/>
                    <a:srcRect l="5813" t="3419" r="14833" b="2934"/>
                    <a:stretch>
                      <a:fillRect/>
                    </a:stretch>
                  </pic:blipFill>
                  <pic:spPr>
                    <a:xfrm>
                      <a:off x="0" y="0"/>
                      <a:ext cx="4487545" cy="5321935"/>
                    </a:xfrm>
                    <a:prstGeom prst="rect">
                      <a:avLst/>
                    </a:prstGeom>
                  </pic:spPr>
                </pic:pic>
              </a:graphicData>
            </a:graphic>
          </wp:inline>
        </w:drawing>
      </w:r>
    </w:p>
    <w:p w14:paraId="2B70FB8D">
      <w:pPr>
        <w:pStyle w:val="12"/>
        <w:numPr>
          <w:ilvl w:val="0"/>
          <w:numId w:val="0"/>
        </w:numPr>
      </w:pPr>
    </w:p>
    <w:p w14:paraId="7CA9C967">
      <w:pPr>
        <w:rPr>
          <w:rFonts w:hint="eastAsia" w:ascii="宋体" w:hAnsi="宋体" w:cs="宋体"/>
          <w:b/>
          <w:bCs/>
          <w:sz w:val="24"/>
          <w:szCs w:val="24"/>
          <w:lang w:val="en-US" w:eastAsia="zh-CN"/>
        </w:rPr>
      </w:pPr>
    </w:p>
    <w:p w14:paraId="3B48612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matters need attention ：</w:t>
      </w:r>
    </w:p>
    <w:p w14:paraId="1DE4BF46">
      <w:pPr>
        <w:ind w:firstLine="120" w:firstLineChars="50"/>
        <w:rPr>
          <w:b/>
          <w:sz w:val="24"/>
          <w:shd w:val="pct10" w:color="auto" w:fill="FFFFFF"/>
        </w:rPr>
      </w:pPr>
    </w:p>
    <w:p w14:paraId="1130E257">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One of the primary components of pedestrian walkway products is stainless steel, which exhibits excellent corrosion resistance (ability to resist atmospheric oxidation) and resistance to corrosion in acidic, alkaline, or saline environments. However, its corrosion resistance varies depending on factors such as its chemical composition and operating conditions. To maintain the aesthetic appearance of stainless steel and extend its service life, regular maintenance is essential.</w:t>
      </w:r>
    </w:p>
    <w:p w14:paraId="7660728A">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maintenance precautions are as follows:</w:t>
      </w:r>
    </w:p>
    <w:p w14:paraId="25B6929E">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Different specifications of stainless steel should be selected based on specific operating environments. In general conditions, 304 stainless steel is suitable; for coastal areas or chemical plants, 316 stainless steel is recommended.</w:t>
      </w:r>
    </w:p>
    <w:p w14:paraId="58DA50A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Keep the product surface clean and dry.</w:t>
      </w:r>
    </w:p>
    <w:p w14:paraId="07A834BF">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contaminants appear on the product surface, they can be cleaned using non-woven fabric and alcohol.</w:t>
      </w:r>
    </w:p>
    <w:p w14:paraId="1A28318D">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rust spots appear on the product surface, use a cleaning cloth (never employ a wire scrub ball) to wipe back and forth along the grain lines of the rusted areas until complete removal is achieved. Subsequently, apply a non-woven cloth and stainless steel maintenance agent for a thorough final clean.</w:t>
      </w:r>
    </w:p>
    <w:p w14:paraId="4D2D161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The entire turnstile should be regularly maintained by wiping with non-woven fabric and stainless steel cleaning agent. Under normal circumstances, maintenance is recommended once per month; in harsh environments (e.g., coastal areas or chemical plants), weekly maintenance is advised.</w:t>
      </w:r>
    </w:p>
    <w:sectPr>
      <w:headerReference r:id="rId3" w:type="default"/>
      <w:footerReference r:id="rId4" w:type="default"/>
      <w:pgSz w:w="11906" w:h="16838"/>
      <w:pgMar w:top="1340" w:right="1134" w:bottom="1134" w:left="1134" w:header="851" w:footer="1176"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8DA54">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For more contact information and product details, please visit the official website of KMSZN: https://www.kmszn.cn/</w:t>
    </w:r>
  </w:p>
  <w:p w14:paraId="00BE2D43">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CAAB60">
    <w:pPr>
      <w:pStyle w:val="4"/>
      <w:jc w:val="right"/>
      <w:rPr>
        <w:rFonts w:hint="eastAsia" w:eastAsia="宋体"/>
        <w:lang w:eastAsia="zh-CN"/>
      </w:rPr>
    </w:pPr>
    <w:r>
      <w:rPr>
        <w:rFonts w:hint="eastAsia" w:eastAsia="宋体"/>
        <w:lang w:eastAsia="zh-CN"/>
      </w:rPr>
      <w:drawing>
        <wp:inline distT="0" distB="0" distL="114300" distR="114300">
          <wp:extent cx="1239520" cy="325120"/>
          <wp:effectExtent l="0" t="0" r="5080" b="4445"/>
          <wp:docPr id="6" name="图片 6"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KEMSI2"/>
                  <pic:cNvPicPr>
                    <a:picLocks noChangeAspect="1"/>
                  </pic:cNvPicPr>
                </pic:nvPicPr>
                <pic:blipFill>
                  <a:blip r:embed="rId1"/>
                  <a:stretch>
                    <a:fillRect/>
                  </a:stretch>
                </pic:blipFill>
                <pic:spPr>
                  <a:xfrm>
                    <a:off x="0" y="0"/>
                    <a:ext cx="1239520" cy="32512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3B5D303"/>
    <w:multiLevelType w:val="multilevel"/>
    <w:tmpl w:val="C3B5D303"/>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EB9BA11B"/>
    <w:multiLevelType w:val="multilevel"/>
    <w:tmpl w:val="EB9BA11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0000015"/>
    <w:multiLevelType w:val="multilevel"/>
    <w:tmpl w:val="00000015"/>
    <w:lvl w:ilvl="0" w:tentative="0">
      <w:start w:val="1"/>
      <w:numFmt w:val="bullet"/>
      <w:pStyle w:val="12"/>
      <w:lvlText w:val=""/>
      <w:lvlJc w:val="left"/>
      <w:pPr>
        <w:ind w:left="360" w:hanging="360"/>
      </w:pPr>
      <w:rPr>
        <w:rFonts w:hint="default" w:ascii="Wingdings" w:hAnsi="Wingdings"/>
        <w:b w:val="0"/>
        <w:bCs w:val="0"/>
        <w:i w:val="0"/>
        <w:iCs w:val="0"/>
        <w:caps w:val="0"/>
        <w:strike w:val="0"/>
        <w:dstrike w:val="0"/>
        <w:vanish w:val="0"/>
        <w:color w:val="000000"/>
        <w:spacing w:val="0"/>
        <w:w w:val="100"/>
        <w:position w:val="1"/>
        <w:sz w:val="24"/>
        <w:szCs w:val="18"/>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4C13"/>
    <w:rsid w:val="00015D4E"/>
    <w:rsid w:val="00051B88"/>
    <w:rsid w:val="000C178F"/>
    <w:rsid w:val="000D35DD"/>
    <w:rsid w:val="00165EAC"/>
    <w:rsid w:val="001706D0"/>
    <w:rsid w:val="001D0A40"/>
    <w:rsid w:val="00285FC8"/>
    <w:rsid w:val="002F3F67"/>
    <w:rsid w:val="0031516A"/>
    <w:rsid w:val="003A1AC4"/>
    <w:rsid w:val="003F180B"/>
    <w:rsid w:val="00410C00"/>
    <w:rsid w:val="00423252"/>
    <w:rsid w:val="00443E76"/>
    <w:rsid w:val="00470EEE"/>
    <w:rsid w:val="004E70E2"/>
    <w:rsid w:val="005F6B7E"/>
    <w:rsid w:val="006C12D2"/>
    <w:rsid w:val="007903AF"/>
    <w:rsid w:val="007A35C5"/>
    <w:rsid w:val="00810E49"/>
    <w:rsid w:val="0082414E"/>
    <w:rsid w:val="00854995"/>
    <w:rsid w:val="008A794F"/>
    <w:rsid w:val="008E36FE"/>
    <w:rsid w:val="009010FB"/>
    <w:rsid w:val="009036AA"/>
    <w:rsid w:val="00933A64"/>
    <w:rsid w:val="0099723F"/>
    <w:rsid w:val="009E2F35"/>
    <w:rsid w:val="00A2423A"/>
    <w:rsid w:val="00A331B5"/>
    <w:rsid w:val="00A55D67"/>
    <w:rsid w:val="00AC2B9C"/>
    <w:rsid w:val="00AC5348"/>
    <w:rsid w:val="00B17A72"/>
    <w:rsid w:val="00B43B53"/>
    <w:rsid w:val="00B84274"/>
    <w:rsid w:val="00BB704C"/>
    <w:rsid w:val="00C02305"/>
    <w:rsid w:val="00CD5C39"/>
    <w:rsid w:val="00CF1CEB"/>
    <w:rsid w:val="00D341C4"/>
    <w:rsid w:val="00D4583B"/>
    <w:rsid w:val="00D476A9"/>
    <w:rsid w:val="00DA00B0"/>
    <w:rsid w:val="00DA4F5C"/>
    <w:rsid w:val="00DA586E"/>
    <w:rsid w:val="00E14C13"/>
    <w:rsid w:val="00E8206B"/>
    <w:rsid w:val="00E953E6"/>
    <w:rsid w:val="00EA6819"/>
    <w:rsid w:val="00F10E4B"/>
    <w:rsid w:val="00F84847"/>
    <w:rsid w:val="0A122902"/>
    <w:rsid w:val="0A413560"/>
    <w:rsid w:val="0AAA48E8"/>
    <w:rsid w:val="0B6A3464"/>
    <w:rsid w:val="0D1B1ACD"/>
    <w:rsid w:val="119618E8"/>
    <w:rsid w:val="19393A07"/>
    <w:rsid w:val="1A310B82"/>
    <w:rsid w:val="1BD619E1"/>
    <w:rsid w:val="1D81460A"/>
    <w:rsid w:val="205904EB"/>
    <w:rsid w:val="21A62A33"/>
    <w:rsid w:val="22947F00"/>
    <w:rsid w:val="2FE654EF"/>
    <w:rsid w:val="318B1C70"/>
    <w:rsid w:val="35AA386B"/>
    <w:rsid w:val="394C5D3A"/>
    <w:rsid w:val="414F70AD"/>
    <w:rsid w:val="41B415CD"/>
    <w:rsid w:val="427F7E2D"/>
    <w:rsid w:val="4768030F"/>
    <w:rsid w:val="4EA74993"/>
    <w:rsid w:val="4F676753"/>
    <w:rsid w:val="508C6DE8"/>
    <w:rsid w:val="51F36142"/>
    <w:rsid w:val="543E38D9"/>
    <w:rsid w:val="56875D97"/>
    <w:rsid w:val="5D9D1696"/>
    <w:rsid w:val="635A009E"/>
    <w:rsid w:val="6808604B"/>
    <w:rsid w:val="6AA61E16"/>
    <w:rsid w:val="705067E1"/>
    <w:rsid w:val="71881FAB"/>
    <w:rsid w:val="71A91B53"/>
    <w:rsid w:val="783E61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link w:val="9"/>
    <w:unhideWhenUsed/>
    <w:qFormat/>
    <w:uiPriority w:val="0"/>
    <w:pPr>
      <w:tabs>
        <w:tab w:val="center" w:pos="4153"/>
        <w:tab w:val="right" w:pos="8306"/>
      </w:tabs>
      <w:snapToGrid w:val="0"/>
      <w:jc w:val="left"/>
    </w:pPr>
    <w:rPr>
      <w:sz w:val="18"/>
      <w:szCs w:val="18"/>
    </w:rPr>
  </w:style>
  <w:style w:type="paragraph" w:styleId="4">
    <w:name w:val="header"/>
    <w:basedOn w:val="1"/>
    <w:link w:val="8"/>
    <w:unhideWhenUsed/>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paragraph" w:styleId="10">
    <w:name w:val="List Paragraph"/>
    <w:basedOn w:val="1"/>
    <w:qFormat/>
    <w:uiPriority w:val="34"/>
    <w:pPr>
      <w:ind w:firstLine="420" w:firstLineChars="200"/>
    </w:pPr>
    <w:rPr>
      <w:rFonts w:ascii="Calibri" w:hAnsi="Calibri"/>
      <w:szCs w:val="22"/>
    </w:rPr>
  </w:style>
  <w:style w:type="character" w:customStyle="1" w:styleId="11">
    <w:name w:val="Item List 字符"/>
    <w:link w:val="12"/>
    <w:qFormat/>
    <w:uiPriority w:val="0"/>
    <w:rPr>
      <w:rFonts w:ascii="Calibri" w:hAnsi="Calibri" w:eastAsia="华文细黑" w:cs="Arial"/>
      <w:sz w:val="24"/>
      <w:szCs w:val="21"/>
    </w:rPr>
  </w:style>
  <w:style w:type="paragraph" w:customStyle="1" w:styleId="12">
    <w:name w:val="Item List"/>
    <w:link w:val="11"/>
    <w:qFormat/>
    <w:uiPriority w:val="0"/>
    <w:pPr>
      <w:numPr>
        <w:ilvl w:val="0"/>
        <w:numId w:val="1"/>
      </w:numPr>
      <w:adjustRightInd w:val="0"/>
      <w:snapToGrid w:val="0"/>
      <w:spacing w:before="80" w:after="80" w:line="240" w:lineRule="atLeast"/>
    </w:pPr>
    <w:rPr>
      <w:rFonts w:ascii="Calibri" w:hAnsi="Calibri" w:eastAsia="华文细黑" w:cs="Arial"/>
      <w:kern w:val="2"/>
      <w:sz w:val="24"/>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898</Words>
  <Characters>1056</Characters>
  <Lines>8</Lines>
  <Paragraphs>2</Paragraphs>
  <TotalTime>0</TotalTime>
  <ScaleCrop>false</ScaleCrop>
  <LinksUpToDate>false</LinksUpToDate>
  <CharactersWithSpaces>1063</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2021-07-30T02:04:00Z</dcterms:created>
  <dc:creator>孙中浩</dc:creator>
  <cp:lastModifiedBy>A通道闸管理系统</cp:lastModifiedBy>
  <dcterms:modified xsi:type="dcterms:W3CDTF">2026-05-26T13:02:39Z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700D847C6CA84F478059FCC1B6E2BC56_13</vt:lpwstr>
  </property>
  <property fmtid="{D5CDD505-2E9C-101B-9397-08002B2CF9AE}" pid="4" name="KSOTemplateDocerSaveRecord">
    <vt:lpwstr>eyJoZGlkIjoiNTk4ZWRiOTU2NTcwZTlkYzk1OWYxN2YzOTNlMTM1ODciLCJ1c2VySWQiOiI1MzA1NzM2NTgifQ==</vt:lpwstr>
  </property>
</Properties>
</file>