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5692EAB">
      <w:pPr>
        <w:jc w:val="center"/>
        <w:rPr>
          <w:rFonts w:hint="eastAsia" w:ascii="微软雅黑" w:hAnsi="微软雅黑" w:eastAsia="微软雅黑"/>
          <w:b/>
          <w:color w:val="666666"/>
          <w:sz w:val="52"/>
          <w:szCs w:val="52"/>
          <w:shd w:val="clear" w:color="auto" w:fill="FFFFFF"/>
        </w:rPr>
      </w:pPr>
      <w:bookmarkStart w:id="0" w:name="_GoBack"/>
      <w:bookmarkEnd w:id="0"/>
    </w:p>
    <w:p w14:paraId="44FBD1C8">
      <w:pPr>
        <w:jc w:val="center"/>
        <w:rPr>
          <w:rFonts w:hint="eastAsia" w:ascii="微软雅黑" w:hAnsi="微软雅黑" w:eastAsia="微软雅黑"/>
          <w:b/>
          <w:color w:val="666666"/>
          <w:sz w:val="84"/>
          <w:szCs w:val="84"/>
          <w:shd w:val="clear" w:color="auto" w:fill="FFFFFF"/>
          <w:lang w:eastAsia="zh-CN"/>
        </w:rPr>
      </w:pPr>
      <w:r>
        <w:rPr>
          <w:rFonts w:hint="eastAsia" w:ascii="Times New Roman" w:hAnsi="微软雅黑" w:eastAsia="微软雅黑" w:cstheme="minorBidi"/>
          <w:b/>
          <w:color w:val="666666"/>
          <w:kern w:val="2"/>
          <w:sz w:val="84"/>
          <w:szCs w:val="84"/>
          <w:shd w:val="clear" w:color="auto" w:fill="FFFFFF"/>
          <w:lang w:val="en-US" w:eastAsia="zh-CN" w:bidi="ar-SA"/>
        </w:rPr>
        <w:t>Intelligent Sliding Gate</w:t>
      </w:r>
    </w:p>
    <w:p w14:paraId="77291586">
      <w:pPr>
        <w:jc w:val="center"/>
        <w:rPr>
          <w:rFonts w:ascii="微软雅黑" w:hAnsi="微软雅黑" w:eastAsia="微软雅黑"/>
          <w:b/>
          <w:color w:val="666666"/>
          <w:sz w:val="84"/>
          <w:szCs w:val="84"/>
          <w:shd w:val="clear" w:color="auto" w:fill="FFFFFF"/>
        </w:rPr>
      </w:pPr>
    </w:p>
    <w:p w14:paraId="039E7A94">
      <w:pPr>
        <w:jc w:val="center"/>
        <w:rPr>
          <w:rFonts w:hint="eastAsia" w:ascii="微软雅黑" w:hAnsi="微软雅黑" w:eastAsia="微软雅黑"/>
          <w:b/>
          <w:color w:val="666666"/>
          <w:sz w:val="40"/>
          <w:szCs w:val="24"/>
          <w:shd w:val="clear" w:color="auto" w:fill="FFFFFF"/>
        </w:rPr>
      </w:pPr>
      <w:r>
        <w:rPr>
          <w:rFonts w:ascii="微软雅黑" w:hAnsi="微软雅黑" w:eastAsia="微软雅黑"/>
          <w:b/>
          <w:color w:val="666666"/>
          <w:sz w:val="40"/>
          <w:szCs w:val="24"/>
          <w:shd w:val="clear" w:color="auto" w:fill="FFFFFF"/>
        </w:rPr>
        <w:drawing>
          <wp:inline distT="0" distB="0" distL="0" distR="0">
            <wp:extent cx="5392420" cy="3671570"/>
            <wp:effectExtent l="0" t="0" r="0" b="0"/>
            <wp:docPr id="2" name="图片 1" descr="E:/科迈思智能/报价单/KeyShot 5/Renderings/产品图2026/摆闸/KMS-B8803/KMS-B8803.467.pngKMS-B8803.4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E:/科迈思智能/报价单/KeyShot 5/Renderings/产品图2026/摆闸/KMS-B8803/KMS-B8803.467.pngKMS-B8803.467"/>
                    <pic:cNvPicPr>
                      <a:picLocks noChangeAspect="1" noChangeArrowheads="1"/>
                    </pic:cNvPicPr>
                  </pic:nvPicPr>
                  <pic:blipFill>
                    <a:blip r:embed="rId5"/>
                    <a:srcRect l="12014" t="34420" r="10171" b="12606"/>
                    <a:stretch>
                      <a:fillRect/>
                    </a:stretch>
                  </pic:blipFill>
                  <pic:spPr>
                    <a:xfrm>
                      <a:off x="0" y="0"/>
                      <a:ext cx="5392420" cy="3671570"/>
                    </a:xfrm>
                    <a:prstGeom prst="rect">
                      <a:avLst/>
                    </a:prstGeom>
                    <a:noFill/>
                    <a:ln w="9525">
                      <a:noFill/>
                      <a:miter lim="800000"/>
                      <a:headEnd/>
                      <a:tailEnd/>
                    </a:ln>
                  </pic:spPr>
                </pic:pic>
              </a:graphicData>
            </a:graphic>
          </wp:inline>
        </w:drawing>
      </w:r>
    </w:p>
    <w:p w14:paraId="78EF96BD">
      <w:pPr>
        <w:jc w:val="center"/>
        <w:rPr>
          <w:rFonts w:hint="eastAsia" w:ascii="微软雅黑" w:hAnsi="微软雅黑" w:eastAsia="微软雅黑"/>
          <w:b/>
          <w:color w:val="666666"/>
          <w:sz w:val="40"/>
          <w:szCs w:val="24"/>
          <w:shd w:val="clear" w:color="auto" w:fill="FFFFFF"/>
        </w:rPr>
      </w:pPr>
    </w:p>
    <w:p w14:paraId="71FD1860">
      <w:pPr>
        <w:ind w:firstLine="480" w:firstLineChars="200"/>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Description: The intelligent turnstile KMS-B8803 is a high-tech product designed for smart management of personnel access channels, representing an upgraded version of traditional smart three-roll turnstones. Featuring precision engineering, comprehensive functionality, and premium quality, it is primarily used in upscale settings such as residential complexes, schools, gyms, tourist attractions, smart buildings, hotels, subway stations, ports, and clubs. This device seamlessly integrates mechanical, electronic, and microprocessor control technologies with various identity recognition systems, supporting compatibility with IC cards, ID cards, barcode cards, and fingerprint scanners. By incorporating optional identity verification modules along with reliable security safeguards, alarm systems, and directional indicators, it enables coordinated intelligent control and management of access points.</w:t>
      </w:r>
    </w:p>
    <w:p w14:paraId="543EA0FA">
      <w:pPr>
        <w:rPr>
          <w:rFonts w:hint="eastAsia" w:ascii="微软雅黑" w:hAnsi="微软雅黑" w:eastAsia="微软雅黑"/>
          <w:b/>
          <w:bCs/>
          <w:color w:val="auto"/>
          <w:sz w:val="24"/>
          <w:szCs w:val="24"/>
          <w:shd w:val="clear" w:color="auto" w:fill="FFFFFF"/>
        </w:rPr>
      </w:pPr>
    </w:p>
    <w:p w14:paraId="542020C3">
      <w:pPr>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outline dimension ：</w:t>
      </w:r>
    </w:p>
    <w:p w14:paraId="7285D131">
      <w:pPr>
        <w:rPr>
          <w:rFonts w:hint="eastAsia" w:ascii="微软雅黑" w:hAnsi="微软雅黑" w:eastAsia="微软雅黑"/>
          <w:b/>
          <w:bCs/>
          <w:color w:val="auto"/>
          <w:sz w:val="24"/>
          <w:szCs w:val="24"/>
          <w:shd w:val="clear" w:color="auto" w:fill="FFFFFF"/>
          <w:lang w:val="en-US" w:eastAsia="zh-CN"/>
        </w:rPr>
      </w:pPr>
      <w:r>
        <w:rPr>
          <w:rFonts w:hint="eastAsia" w:ascii="微软雅黑" w:hAnsi="微软雅黑" w:eastAsia="微软雅黑"/>
          <w:b/>
          <w:bCs/>
          <w:color w:val="auto"/>
          <w:sz w:val="24"/>
          <w:szCs w:val="24"/>
          <w:shd w:val="clear" w:color="auto" w:fill="FFFFFF"/>
          <w:lang w:val="en-US" w:eastAsia="zh-CN"/>
        </w:rPr>
        <w:drawing>
          <wp:inline distT="0" distB="0" distL="114300" distR="114300">
            <wp:extent cx="6749415" cy="6030595"/>
            <wp:effectExtent l="0" t="0" r="6985" b="1905"/>
            <wp:docPr id="3" name="图片 3" descr="E:/科迈思智能/报价单/KeyShot 5/Renderings/产品图2026/摆闸/KMS-B8803/KMS-B8803.pngKMS-B88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E:/科迈思智能/报价单/KeyShot 5/Renderings/产品图2026/摆闸/KMS-B8803/KMS-B8803.pngKMS-B8803"/>
                    <pic:cNvPicPr>
                      <a:picLocks noChangeAspect="1"/>
                    </pic:cNvPicPr>
                  </pic:nvPicPr>
                  <pic:blipFill>
                    <a:blip r:embed="rId6"/>
                    <a:srcRect l="1423" t="3987" b="3197"/>
                    <a:stretch>
                      <a:fillRect/>
                    </a:stretch>
                  </pic:blipFill>
                  <pic:spPr>
                    <a:xfrm>
                      <a:off x="0" y="0"/>
                      <a:ext cx="6749415" cy="6030595"/>
                    </a:xfrm>
                    <a:prstGeom prst="rect">
                      <a:avLst/>
                    </a:prstGeom>
                  </pic:spPr>
                </pic:pic>
              </a:graphicData>
            </a:graphic>
          </wp:inline>
        </w:drawing>
      </w:r>
    </w:p>
    <w:p w14:paraId="11A11B0F">
      <w:pPr>
        <w:rPr>
          <w:rFonts w:hint="eastAsia" w:ascii="微软雅黑" w:hAnsi="微软雅黑" w:eastAsia="微软雅黑"/>
          <w:b/>
          <w:bCs/>
          <w:color w:val="auto"/>
          <w:sz w:val="24"/>
          <w:szCs w:val="24"/>
          <w:shd w:val="clear" w:color="auto" w:fill="FFFFFF"/>
          <w:lang w:val="en-US" w:eastAsia="zh-CN"/>
        </w:rPr>
      </w:pPr>
    </w:p>
    <w:p w14:paraId="1883B939">
      <w:pPr>
        <w:rPr>
          <w:rFonts w:hint="eastAsia" w:ascii="微软雅黑" w:hAnsi="微软雅黑" w:eastAsia="微软雅黑"/>
          <w:b/>
          <w:bCs/>
          <w:color w:val="auto"/>
          <w:sz w:val="24"/>
          <w:szCs w:val="24"/>
          <w:shd w:val="clear" w:color="auto" w:fill="FFFFFF"/>
        </w:rPr>
      </w:pPr>
    </w:p>
    <w:p w14:paraId="74E33633">
      <w:pPr>
        <w:ind w:firstLine="480" w:firstLineChars="200"/>
        <w:rPr>
          <w:rFonts w:hint="eastAsia" w:ascii="微软雅黑" w:hAnsi="微软雅黑" w:eastAsia="微软雅黑"/>
          <w:b/>
          <w:bCs/>
          <w:color w:val="auto"/>
          <w:sz w:val="24"/>
          <w:szCs w:val="24"/>
          <w:shd w:val="clear" w:color="auto" w:fill="FFFFFF"/>
          <w:lang w:val="en-US" w:eastAsia="zh-CN"/>
        </w:rPr>
      </w:pPr>
      <w:r>
        <w:rPr>
          <w:rFonts w:hint="eastAsia" w:ascii="Times New Roman" w:hAnsi="微软雅黑" w:eastAsia="微软雅黑" w:cstheme="minorBidi"/>
          <w:b/>
          <w:bCs/>
          <w:color w:val="auto"/>
          <w:kern w:val="2"/>
          <w:sz w:val="24"/>
          <w:szCs w:val="24"/>
          <w:shd w:val="clear" w:color="auto" w:fill="FFFFFF"/>
          <w:lang w:val="en-US" w:eastAsia="zh-CN" w:bidi="ar-SA"/>
        </w:rPr>
        <w:t>functional characteristics ：</w:t>
      </w:r>
    </w:p>
    <w:p w14:paraId="6F1304C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built-in fault self-diagnosis and alarm alerts, facilitating user maintenance and operation;</w:t>
      </w:r>
    </w:p>
    <w:p w14:paraId="593E23C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operating status of the programmable device can be monitored via the built-in small control panel on the main board;</w:t>
      </w:r>
    </w:p>
    <w:p w14:paraId="2B806C99">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motherboard settings are operated via an LCD display with Chinese-language interface, offering convenience and efficiency.</w:t>
      </w:r>
    </w:p>
    <w:p w14:paraId="66F1431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◇Fire Mode Setting: When the gate encounters an emergency situation, it activates fire mode, triggering an alarm and automatically opening the gate.</w:t>
      </w:r>
    </w:p>
    <w:p w14:paraId="10FEDEF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◇Memory Function: The turnstile accurately records both the number of card swipes and pedestrian crossings when operating continuously, significantly reducing pedestrian transit time.</w:t>
      </w:r>
    </w:p>
    <w:p w14:paraId="0DA54CF1">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◇Network-based remote operation: The turnstile can be controlled remotely via the network, facilitating direct communication with customers.</w:t>
      </w:r>
    </w:p>
    <w:p w14:paraId="49A2302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◇Passcode configuration: The gate requires remote password locking.</w:t>
      </w:r>
    </w:p>
    <w:p w14:paraId="11844EBD">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◇Anti-clamping function: When encountering resistance during arm repositioning, the mechanism automatically rebounds or the motor stops operating within a specified time frame with minimal force (≤2 kg).</w:t>
      </w:r>
    </w:p>
    <w:p w14:paraId="48FBBD1F">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Sound and light alarm functions: includes unauthorized intrusion detection and tailgating alerts;</w:t>
      </w:r>
    </w:p>
    <w:p w14:paraId="658C421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Anti-slip function: The swing arm automatically locks when no gate opening signal is received.</w:t>
      </w:r>
    </w:p>
    <w:p w14:paraId="25408AC3">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◇Scalable arm synchronization function;</w:t>
      </w:r>
    </w:p>
    <w:p w14:paraId="636BB457">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Features an automatic reset function: if no vehicle passes within the specified time after the gate opens, the system will automatically revoke the user's access permission. By default, the system resets automatically after 10 seconds of operation.</w:t>
      </w:r>
    </w:p>
    <w:p w14:paraId="06A8246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◇The passage automatically opens after power outage and closes upon power restoration;</w:t>
      </w:r>
    </w:p>
    <w:p w14:paraId="64085746">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Compatible with various card readers;</w:t>
      </w:r>
    </w:p>
    <w:p w14:paraId="76A6B28A">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allows one-way or two-way control of personnel entry and exit;</w:t>
      </w:r>
    </w:p>
    <w:p w14:paraId="0F9A216E">
      <w:pPr>
        <w:ind w:firstLine="480" w:firstLineChars="200"/>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Remote control and management can be performed directly via the management computer;</w:t>
      </w:r>
    </w:p>
    <w:p w14:paraId="11BDCC22">
      <w:pPr>
        <w:jc w:val="left"/>
        <w:rPr>
          <w:rFonts w:hint="eastAsia" w:ascii="微软雅黑" w:hAnsi="微软雅黑" w:eastAsia="微软雅黑"/>
          <w:b/>
          <w:color w:val="auto"/>
          <w:sz w:val="24"/>
          <w:szCs w:val="24"/>
          <w:shd w:val="clear" w:color="auto" w:fill="FFFFFF"/>
        </w:rPr>
      </w:pPr>
    </w:p>
    <w:p w14:paraId="59AD05C5">
      <w:pPr>
        <w:jc w:val="left"/>
        <w:rPr>
          <w:rFonts w:hint="eastAsia" w:ascii="微软雅黑" w:hAnsi="微软雅黑" w:eastAsia="微软雅黑"/>
          <w:b/>
          <w:color w:val="auto"/>
          <w:sz w:val="24"/>
          <w:szCs w:val="24"/>
          <w:shd w:val="clear" w:color="auto" w:fill="FFFFFF"/>
          <w:lang w:eastAsia="zh-CN"/>
        </w:rPr>
      </w:pPr>
      <w:r>
        <w:rPr>
          <w:rFonts w:hint="eastAsia" w:ascii="Times New Roman" w:hAnsi="微软雅黑" w:eastAsia="微软雅黑" w:cstheme="minorBidi"/>
          <w:b/>
          <w:color w:val="auto"/>
          <w:kern w:val="2"/>
          <w:sz w:val="24"/>
          <w:szCs w:val="24"/>
          <w:shd w:val="clear" w:color="auto" w:fill="FFFFFF"/>
          <w:lang w:val="en-US" w:eastAsia="zh-CN" w:bidi="ar-SA"/>
        </w:rPr>
        <w:t>technical parameter ：</w:t>
      </w:r>
    </w:p>
    <w:p w14:paraId="22E11D10">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◇Product model: KMS-B8803</w:t>
      </w:r>
    </w:p>
    <w:p w14:paraId="055B280D">
      <w:pPr>
        <w:ind w:firstLine="480" w:firstLineChars="200"/>
        <w:jc w:val="left"/>
        <w:rPr>
          <w:rFonts w:hint="eastAsia"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◇External dimensions: 1400*150*1000 mm</w:t>
      </w:r>
    </w:p>
    <w:p w14:paraId="6E4F0F62">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◇Retractable arm length: 350 mm</w:t>
      </w:r>
    </w:p>
    <w:p w14:paraId="2500502F">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Passage width: 550–1000 mm</w:t>
      </w:r>
    </w:p>
    <w:p w14:paraId="682D6A65">
      <w:pPr>
        <w:ind w:firstLine="480" w:firstLineChars="200"/>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◇Weight: 40–65 kg</w:t>
      </w:r>
    </w:p>
    <w:p w14:paraId="129BD7DB">
      <w:pPr>
        <w:jc w:val="left"/>
        <w:rPr>
          <w:rFonts w:hint="default" w:ascii="微软雅黑" w:hAnsi="微软雅黑" w:eastAsia="微软雅黑"/>
          <w:color w:val="auto"/>
          <w:sz w:val="24"/>
          <w:szCs w:val="24"/>
          <w:shd w:val="clear" w:color="auto" w:fill="FFFFFF"/>
          <w:lang w:val="en-US" w:eastAsia="zh-CN"/>
        </w:rPr>
      </w:pPr>
      <w:r>
        <w:rPr>
          <w:rFonts w:hint="eastAsia" w:ascii="Times New Roman" w:hAnsi="微软雅黑" w:eastAsia="微软雅黑" w:cstheme="minorBidi"/>
          <w:color w:val="auto"/>
          <w:kern w:val="2"/>
          <w:sz w:val="24"/>
          <w:szCs w:val="24"/>
          <w:shd w:val="clear" w:color="auto" w:fill="FFFFFF"/>
          <w:lang w:val="en-US" w:eastAsia="zh-CN" w:bidi="ar-SA"/>
        </w:rPr>
        <w:t>◇Case material: 304 stainless steel; top cover thickness: 1.5 mm; side panels: 1.2 mm thick or 201 stainless steel with baked finish</w:t>
      </w:r>
    </w:p>
    <w:p w14:paraId="676C6434">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◇Power supply voltage: AC 220 ±10% V, 50 Hz</w:t>
      </w:r>
    </w:p>
    <w:p w14:paraId="23E61E71">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◇Driving motor: Brushed/Brushless DC motor (20W/24V)</w:t>
      </w:r>
    </w:p>
    <w:p w14:paraId="7E0A647E">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◇Input interface: Dry contact signal, 12V level signal, or a 12V pulse signal with a pulse width&gt;100ms and a drive current&gt;10mA</w:t>
      </w:r>
    </w:p>
    <w:p w14:paraId="4574781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◇Standard service life: 5 million cycles</w:t>
      </w:r>
    </w:p>
    <w:p w14:paraId="60F74D9F">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◇Communication interface: RS232 standard</w:t>
      </w:r>
    </w:p>
    <w:p w14:paraId="445ABF5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◇LED indicator lights: 2</w:t>
      </w:r>
    </w:p>
    <w:p w14:paraId="6F2FE3FC">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◇Card reader window: 2</w:t>
      </w:r>
    </w:p>
    <w:p w14:paraId="10095397">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 Maintenance access ports: 2</w:t>
      </w:r>
    </w:p>
    <w:p w14:paraId="17AD6625">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◇Throughput: 30–40 people/min in continuous open mode; 20–30 people/min in continuous closed mode</w:t>
      </w:r>
    </w:p>
    <w:p w14:paraId="38E60B42">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◇Gate opening/closing time: 1 second</w:t>
      </w:r>
    </w:p>
    <w:p w14:paraId="3F0DD8FB">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◇Time required to enter the passable state after power-on: 5 seconds</w:t>
      </w:r>
    </w:p>
    <w:p w14:paraId="64C5F9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◇Working environment: Indoor or outdoor (under shelter); Temperature: -25°C to 70°C</w:t>
      </w:r>
    </w:p>
    <w:p w14:paraId="437E957B">
      <w:pPr>
        <w:jc w:val="left"/>
        <w:rPr>
          <w:rFonts w:hint="eastAsia" w:ascii="微软雅黑" w:hAnsi="微软雅黑" w:eastAsia="微软雅黑"/>
          <w:color w:val="auto"/>
          <w:sz w:val="24"/>
          <w:szCs w:val="24"/>
          <w:lang w:eastAsia="zh-CN"/>
        </w:rPr>
      </w:pPr>
      <w:r>
        <w:rPr>
          <w:rFonts w:hint="eastAsia" w:ascii="Times New Roman" w:hAnsi="微软雅黑" w:eastAsia="微软雅黑" w:cstheme="minorBidi"/>
          <w:color w:val="auto"/>
          <w:kern w:val="2"/>
          <w:sz w:val="24"/>
          <w:szCs w:val="24"/>
          <w:lang w:val="en-US" w:eastAsia="zh-CN" w:bidi="ar-SA"/>
        </w:rPr>
        <w:t>◇ Infrared Cross-Beam: 4 pairs</w:t>
      </w:r>
    </w:p>
    <w:p w14:paraId="62CF4E70">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Relative humidity: ≤90%, no condensation</w:t>
      </w:r>
    </w:p>
    <w:p w14:paraId="31D03D53">
      <w:pPr>
        <w:jc w:val="left"/>
        <w:rPr>
          <w:rFonts w:hint="eastAsia" w:ascii="微软雅黑" w:hAnsi="微软雅黑" w:eastAsia="微软雅黑"/>
          <w:color w:val="auto"/>
          <w:sz w:val="24"/>
          <w:szCs w:val="24"/>
          <w:shd w:val="clear" w:color="auto" w:fill="FFFFFF"/>
          <w:lang w:eastAsia="zh-CN"/>
        </w:rPr>
      </w:pPr>
      <w:r>
        <w:rPr>
          <w:rFonts w:hint="eastAsia" w:ascii="Times New Roman" w:hAnsi="微软雅黑" w:eastAsia="微软雅黑" w:cstheme="minorBidi"/>
          <w:color w:val="auto"/>
          <w:kern w:val="2"/>
          <w:sz w:val="24"/>
          <w:szCs w:val="24"/>
          <w:shd w:val="clear" w:color="auto" w:fill="FFFFFF"/>
          <w:lang w:val="en-US" w:eastAsia="zh-CN" w:bidi="ar-SA"/>
        </w:rPr>
        <w:t>This turnstile supports multiple authentication methods including fingerprint, facial recognition, card swiping, password, second-generation ID card, QR code, iris recognition, and palm print recognition.</w:t>
      </w:r>
    </w:p>
    <w:sectPr>
      <w:headerReference r:id="rId3" w:type="default"/>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E8BD81">
    <w:pPr>
      <w:pStyle w:val="4"/>
      <w:jc w:val="right"/>
      <w:rPr>
        <w:rFonts w:hint="eastAsia" w:eastAsiaTheme="minorEastAsia"/>
        <w:lang w:eastAsia="zh-CN"/>
      </w:rPr>
    </w:pPr>
    <w:r>
      <w:rPr>
        <w:rFonts w:hint="eastAsia" w:eastAsiaTheme="minorEastAsia"/>
        <w:lang w:eastAsia="zh-CN"/>
      </w:rPr>
      <w:drawing>
        <wp:inline distT="0" distB="0" distL="114300" distR="114300">
          <wp:extent cx="1287780" cy="338455"/>
          <wp:effectExtent l="0" t="0" r="7620" b="0"/>
          <wp:docPr id="1" name="图片 1" descr="KEMSI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KEMSI2"/>
                  <pic:cNvPicPr>
                    <a:picLocks noChangeAspect="1"/>
                  </pic:cNvPicPr>
                </pic:nvPicPr>
                <pic:blipFill>
                  <a:blip r:embed="rId1"/>
                  <a:stretch>
                    <a:fillRect/>
                  </a:stretch>
                </pic:blipFill>
                <pic:spPr>
                  <a:xfrm>
                    <a:off x="0" y="0"/>
                    <a:ext cx="1287780" cy="338455"/>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dit="readOnly"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1604"/>
    <w:rsid w:val="00015144"/>
    <w:rsid w:val="00051017"/>
    <w:rsid w:val="000E27B5"/>
    <w:rsid w:val="00164A93"/>
    <w:rsid w:val="001844F4"/>
    <w:rsid w:val="001D1A43"/>
    <w:rsid w:val="001F6BC8"/>
    <w:rsid w:val="00371604"/>
    <w:rsid w:val="0039169E"/>
    <w:rsid w:val="00416676"/>
    <w:rsid w:val="00500332"/>
    <w:rsid w:val="00515897"/>
    <w:rsid w:val="00603034"/>
    <w:rsid w:val="00614209"/>
    <w:rsid w:val="00641049"/>
    <w:rsid w:val="006925B0"/>
    <w:rsid w:val="007054AA"/>
    <w:rsid w:val="008322BB"/>
    <w:rsid w:val="008541DC"/>
    <w:rsid w:val="008A4E64"/>
    <w:rsid w:val="008B65E0"/>
    <w:rsid w:val="00904428"/>
    <w:rsid w:val="00924BED"/>
    <w:rsid w:val="00A075E4"/>
    <w:rsid w:val="00A77E46"/>
    <w:rsid w:val="00A954AB"/>
    <w:rsid w:val="00B779A2"/>
    <w:rsid w:val="00BC5682"/>
    <w:rsid w:val="00BD1A17"/>
    <w:rsid w:val="00C05C42"/>
    <w:rsid w:val="00C4093F"/>
    <w:rsid w:val="00C65CB2"/>
    <w:rsid w:val="00CA0F53"/>
    <w:rsid w:val="00CF4893"/>
    <w:rsid w:val="00DA7B85"/>
    <w:rsid w:val="00DB2A0A"/>
    <w:rsid w:val="00E6026B"/>
    <w:rsid w:val="00EA2D44"/>
    <w:rsid w:val="00EE5F59"/>
    <w:rsid w:val="00F718C4"/>
    <w:rsid w:val="00F81176"/>
    <w:rsid w:val="01DA3631"/>
    <w:rsid w:val="02AD34F4"/>
    <w:rsid w:val="03E219EE"/>
    <w:rsid w:val="063F6C84"/>
    <w:rsid w:val="08830107"/>
    <w:rsid w:val="09F67FE5"/>
    <w:rsid w:val="0B2E72C7"/>
    <w:rsid w:val="0BA37CB5"/>
    <w:rsid w:val="0CC223BD"/>
    <w:rsid w:val="0E3A41D5"/>
    <w:rsid w:val="128C0F4C"/>
    <w:rsid w:val="12FC7CAB"/>
    <w:rsid w:val="15436065"/>
    <w:rsid w:val="160752E5"/>
    <w:rsid w:val="167F131F"/>
    <w:rsid w:val="175B1444"/>
    <w:rsid w:val="176C53FF"/>
    <w:rsid w:val="17B57194"/>
    <w:rsid w:val="199E1D42"/>
    <w:rsid w:val="19A60971"/>
    <w:rsid w:val="1A22584D"/>
    <w:rsid w:val="1AC612CA"/>
    <w:rsid w:val="1DD0420E"/>
    <w:rsid w:val="1E0D5CDA"/>
    <w:rsid w:val="1E6324F3"/>
    <w:rsid w:val="1EBF3C1A"/>
    <w:rsid w:val="21BE2BE8"/>
    <w:rsid w:val="21D73DBD"/>
    <w:rsid w:val="236553F8"/>
    <w:rsid w:val="24C745BD"/>
    <w:rsid w:val="26C37006"/>
    <w:rsid w:val="26FB22FC"/>
    <w:rsid w:val="281F026C"/>
    <w:rsid w:val="2A700EAD"/>
    <w:rsid w:val="2AC62C21"/>
    <w:rsid w:val="2B002D1A"/>
    <w:rsid w:val="2BC2788C"/>
    <w:rsid w:val="2E2547C1"/>
    <w:rsid w:val="2E8B0409"/>
    <w:rsid w:val="2F843CC3"/>
    <w:rsid w:val="2FA21EAE"/>
    <w:rsid w:val="30EF17E0"/>
    <w:rsid w:val="339E75A4"/>
    <w:rsid w:val="359C73A0"/>
    <w:rsid w:val="35C9034A"/>
    <w:rsid w:val="36E94EEA"/>
    <w:rsid w:val="37FF59C4"/>
    <w:rsid w:val="39985E8D"/>
    <w:rsid w:val="39B8407C"/>
    <w:rsid w:val="3AF173C3"/>
    <w:rsid w:val="3B802C6A"/>
    <w:rsid w:val="3C1557B6"/>
    <w:rsid w:val="3D976E00"/>
    <w:rsid w:val="3DEE62BF"/>
    <w:rsid w:val="3E1A70B4"/>
    <w:rsid w:val="3E4B3711"/>
    <w:rsid w:val="3E5C591E"/>
    <w:rsid w:val="3EDC25BB"/>
    <w:rsid w:val="4142391F"/>
    <w:rsid w:val="43B1499E"/>
    <w:rsid w:val="44C4421D"/>
    <w:rsid w:val="44D04970"/>
    <w:rsid w:val="453942C3"/>
    <w:rsid w:val="460A22F9"/>
    <w:rsid w:val="469B0FAE"/>
    <w:rsid w:val="47B57E4D"/>
    <w:rsid w:val="47C46F79"/>
    <w:rsid w:val="47DE1152"/>
    <w:rsid w:val="484E277B"/>
    <w:rsid w:val="4C4D4AF8"/>
    <w:rsid w:val="4C7D53DD"/>
    <w:rsid w:val="4DF3347D"/>
    <w:rsid w:val="4F136CC9"/>
    <w:rsid w:val="506A211C"/>
    <w:rsid w:val="50DD469C"/>
    <w:rsid w:val="51360F4D"/>
    <w:rsid w:val="513A1AEF"/>
    <w:rsid w:val="518014CC"/>
    <w:rsid w:val="51E41A5B"/>
    <w:rsid w:val="53346A12"/>
    <w:rsid w:val="534A7FE3"/>
    <w:rsid w:val="539719B0"/>
    <w:rsid w:val="54265D9C"/>
    <w:rsid w:val="542720D3"/>
    <w:rsid w:val="54482775"/>
    <w:rsid w:val="553B328D"/>
    <w:rsid w:val="55466588"/>
    <w:rsid w:val="55946466"/>
    <w:rsid w:val="56474697"/>
    <w:rsid w:val="56B57E6A"/>
    <w:rsid w:val="56DA342C"/>
    <w:rsid w:val="57101FE7"/>
    <w:rsid w:val="57212E09"/>
    <w:rsid w:val="5A2F4103"/>
    <w:rsid w:val="5B7C4EBB"/>
    <w:rsid w:val="5BAB5397"/>
    <w:rsid w:val="5C303F7E"/>
    <w:rsid w:val="5C871960"/>
    <w:rsid w:val="5D2B6790"/>
    <w:rsid w:val="5D395350"/>
    <w:rsid w:val="5D924A61"/>
    <w:rsid w:val="5E94159E"/>
    <w:rsid w:val="604007A4"/>
    <w:rsid w:val="610E08A2"/>
    <w:rsid w:val="612956DC"/>
    <w:rsid w:val="61F017BB"/>
    <w:rsid w:val="621041A6"/>
    <w:rsid w:val="63332842"/>
    <w:rsid w:val="65841133"/>
    <w:rsid w:val="65A16E43"/>
    <w:rsid w:val="660E127B"/>
    <w:rsid w:val="663E5786"/>
    <w:rsid w:val="673B3A73"/>
    <w:rsid w:val="67BD26DA"/>
    <w:rsid w:val="68CF4DBB"/>
    <w:rsid w:val="69043521"/>
    <w:rsid w:val="6A002C04"/>
    <w:rsid w:val="6A164324"/>
    <w:rsid w:val="6A9A0475"/>
    <w:rsid w:val="6CD75FEC"/>
    <w:rsid w:val="6F491A22"/>
    <w:rsid w:val="704E5A4D"/>
    <w:rsid w:val="71A072F4"/>
    <w:rsid w:val="72691DDC"/>
    <w:rsid w:val="729F4DE6"/>
    <w:rsid w:val="73163E8B"/>
    <w:rsid w:val="73372599"/>
    <w:rsid w:val="74CE23CA"/>
    <w:rsid w:val="75475CD9"/>
    <w:rsid w:val="767C19B2"/>
    <w:rsid w:val="78CB12BA"/>
    <w:rsid w:val="78D855C6"/>
    <w:rsid w:val="7AAB75D1"/>
    <w:rsid w:val="7B0C718E"/>
    <w:rsid w:val="7BDC53CD"/>
    <w:rsid w:val="7D86491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mc:AlternateContent>
    <mc:Choice Requires="wpsCustomData">
      <wpsCustomData:typoFeatureVersion val="1"/>
    </mc:Choice>
  </mc:AlternateConten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semiHidden/>
    <w:unhideWhenUsed/>
    <w:qFormat/>
    <w:uiPriority w:val="99"/>
    <w:pPr>
      <w:tabs>
        <w:tab w:val="center" w:pos="4153"/>
        <w:tab w:val="right" w:pos="8306"/>
      </w:tabs>
      <w:snapToGrid w:val="0"/>
      <w:jc w:val="left"/>
    </w:pPr>
    <w:rPr>
      <w:sz w:val="18"/>
      <w:szCs w:val="18"/>
    </w:rPr>
  </w:style>
  <w:style w:type="paragraph" w:styleId="4">
    <w:name w:val="header"/>
    <w:basedOn w:val="1"/>
    <w:link w:val="7"/>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semiHidden/>
    <w:qFormat/>
    <w:uiPriority w:val="99"/>
    <w:rPr>
      <w:sz w:val="18"/>
      <w:szCs w:val="18"/>
    </w:rPr>
  </w:style>
  <w:style w:type="character" w:customStyle="1" w:styleId="8">
    <w:name w:val="页脚 Char"/>
    <w:basedOn w:val="6"/>
    <w:link w:val="3"/>
    <w:semiHidden/>
    <w:qFormat/>
    <w:uiPriority w:val="99"/>
    <w:rPr>
      <w:sz w:val="18"/>
      <w:szCs w:val="18"/>
    </w:rPr>
  </w:style>
  <w:style w:type="character" w:customStyle="1" w:styleId="9">
    <w:name w:val="批注框文本 Char"/>
    <w:basedOn w:val="6"/>
    <w:link w:val="2"/>
    <w:semiHidden/>
    <w:qFormat/>
    <w:uiPriority w:val="99"/>
    <w:rPr>
      <w:sz w:val="18"/>
      <w:szCs w:val="18"/>
    </w:rPr>
  </w:style>
  <w:style w:type="character" w:customStyle="1" w:styleId="10">
    <w:name w:val="apple-converted-space"/>
    <w:basedOn w:val="6"/>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4</Pages>
  <Words>967</Words>
  <Characters>1084</Characters>
  <Lines>8</Lines>
  <Paragraphs>2</Paragraphs>
  <TotalTime>1</TotalTime>
  <ScaleCrop>false</ScaleCrop>
  <LinksUpToDate>false</LinksUpToDate>
  <CharactersWithSpaces>1261</CharactersWithSpaces>
  <Application>WPS Office_12.1.0.26375_F1E327BC-269C-435d-A152-05C5408002CA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2020-10-16T13:03:00Z</dcterms:created>
  <dc:creator>JYJ</dc:creator>
  <cp:lastModifiedBy>A通道闸管理系统</cp:lastModifiedBy>
  <dcterms:modified xsi:type="dcterms:W3CDTF">2026-05-28T01:24:32Z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2052-12.1.0.26375</vt:lpwstr>
  </property>
  <property fmtid="{D5CDD505-2E9C-101B-9397-08002B2CF9AE}" pid="3" name="ICV">
    <vt:lpwstr>FE5A82F1E7E74CA1BC1497B2BE142F67_13</vt:lpwstr>
  </property>
  <property fmtid="{D5CDD505-2E9C-101B-9397-08002B2CF9AE}" pid="4" name="KSOTemplateDocerSaveRecord">
    <vt:lpwstr>eyJoZGlkIjoiNTk4ZWRiOTU2NTcwZTlkYzk1OWYxN2YzOTNlMTM1ODciLCJ1c2VySWQiOiI1MzA1NzM2NTgifQ==</vt:lpwstr>
  </property>
</Properties>
</file>