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C2C1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color w:val="222222"/>
          <w:kern w:val="0"/>
          <w:sz w:val="32"/>
          <w:szCs w:val="32"/>
          <w:lang w:val="en-US" w:eastAsia="zh-CN"/>
        </w:rPr>
      </w:pPr>
      <w:bookmarkStart w:id="0" w:name="_GoBack"/>
      <w:bookmarkEnd w:id="0"/>
    </w:p>
    <w:p w14:paraId="4A0A18C7">
      <w:pPr>
        <w:jc w:val="center"/>
        <w:rPr>
          <w:rFonts w:hint="eastAsia"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Speed Gate</w:t>
      </w:r>
    </w:p>
    <w:p w14:paraId="5056DFCC">
      <w:pPr>
        <w:ind w:firstLine="2101" w:firstLineChars="250"/>
        <w:rPr>
          <w:rFonts w:hint="eastAsia" w:ascii="微软雅黑" w:hAnsi="微软雅黑" w:eastAsia="微软雅黑"/>
          <w:b/>
          <w:color w:val="666666"/>
          <w:sz w:val="84"/>
          <w:szCs w:val="84"/>
          <w:shd w:val="clear" w:color="auto" w:fill="FFFFFF"/>
          <w:lang w:val="en-US" w:eastAsia="zh-CN"/>
        </w:rPr>
      </w:pPr>
    </w:p>
    <w:p w14:paraId="56FBF2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r>
        <w:rPr>
          <w:rFonts w:hint="eastAsia" w:ascii="微软雅黑" w:hAnsi="微软雅黑" w:eastAsia="微软雅黑" w:cs="宋体"/>
          <w:b/>
          <w:color w:val="222222"/>
          <w:kern w:val="0"/>
          <w:sz w:val="32"/>
          <w:szCs w:val="32"/>
          <w:lang w:val="en-US" w:eastAsia="zh-CN"/>
        </w:rPr>
        <w:drawing>
          <wp:inline distT="0" distB="0" distL="114300" distR="114300">
            <wp:extent cx="5492750" cy="3663950"/>
            <wp:effectExtent l="0" t="0" r="0" b="0"/>
            <wp:docPr id="5" name="图片 5" descr="E:/科迈思智能/报价单/KeyShot 5/Renderings/产品图2026/速通门/KMS-T5566/KMS-T5566.740.pngKMS-T5566.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科迈思智能/报价单/KeyShot 5/Renderings/产品图2026/速通门/KMS-T5566/KMS-T5566.740.pngKMS-T5566.740"/>
                    <pic:cNvPicPr>
                      <a:picLocks noChangeAspect="1"/>
                    </pic:cNvPicPr>
                  </pic:nvPicPr>
                  <pic:blipFill>
                    <a:blip r:embed="rId6"/>
                    <a:srcRect l="11069" t="31546" r="9361" b="15402"/>
                    <a:stretch>
                      <a:fillRect/>
                    </a:stretch>
                  </pic:blipFill>
                  <pic:spPr>
                    <a:xfrm>
                      <a:off x="0" y="0"/>
                      <a:ext cx="5492750" cy="3663950"/>
                    </a:xfrm>
                    <a:prstGeom prst="rect">
                      <a:avLst/>
                    </a:prstGeom>
                  </pic:spPr>
                </pic:pic>
              </a:graphicData>
            </a:graphic>
          </wp:inline>
        </w:drawing>
      </w:r>
    </w:p>
    <w:p w14:paraId="20FC46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p>
    <w:p w14:paraId="6D9421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ind w:left="280" w:hanging="240" w:hangingChars="100"/>
        <w:jc w:val="left"/>
        <w:rPr>
          <w:rFonts w:hint="eastAsia" w:ascii="微软雅黑" w:hAnsi="微软雅黑" w:eastAsia="微软雅黑" w:cs="宋体"/>
          <w:b/>
          <w:color w:val="222222"/>
          <w:kern w:val="0"/>
          <w:sz w:val="32"/>
          <w:szCs w:val="32"/>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Speed Gate KMS-T5566 is a high-tech product designed for intelligent management of personnel access channels, representing an upgraded version of smart swing gates and flap gates. Featuring precision engineering, comprehensive functionality, and premium quality, it is primarily used in upscale settings such as residential complexes, schools, gyms, tourist attractions, smart buildings, hotels, subway stations, docks, and clubs. This equipment seamlessly integrates mechanical, electronic, microprocessor-based control systems with various identity authentication technologies, supporting multiple access authorization methods including fingerprint, facial recognition, card swiping, password entry, second-generation ID card verification, QR code scanning, iris recognition, and palm print identification.</w:t>
      </w:r>
    </w:p>
    <w:p w14:paraId="72634A3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val="en-US" w:eastAsia="zh-CN"/>
        </w:rPr>
      </w:pPr>
    </w:p>
    <w:p w14:paraId="0D2D300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宋体"/>
          <w:b w:val="0"/>
          <w:bCs/>
          <w:color w:val="222222"/>
          <w:kern w:val="0"/>
          <w:sz w:val="30"/>
          <w:szCs w:val="30"/>
          <w:lang w:val="en-US" w:eastAsia="zh-CN" w:bidi="ar-SA"/>
        </w:rPr>
        <w:t>Product Parameter ：</w:t>
      </w:r>
    </w:p>
    <w:p w14:paraId="26B1418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微软雅黑" w:hAnsi="微软雅黑" w:eastAsia="微软雅黑" w:cs="宋体"/>
          <w:b/>
          <w:color w:val="222222"/>
          <w:kern w:val="0"/>
          <w:sz w:val="32"/>
          <w:szCs w:val="32"/>
        </w:rPr>
      </w:pPr>
    </w:p>
    <w:p w14:paraId="227DCBC6">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59264" behindDoc="0" locked="0" layoutInCell="1" allowOverlap="1">
                <wp:simplePos x="0" y="0"/>
                <wp:positionH relativeFrom="column">
                  <wp:posOffset>1001395</wp:posOffset>
                </wp:positionH>
                <wp:positionV relativeFrom="paragraph">
                  <wp:posOffset>91440</wp:posOffset>
                </wp:positionV>
                <wp:extent cx="209550" cy="428625"/>
                <wp:effectExtent l="4445" t="4445" r="1905" b="11430"/>
                <wp:wrapNone/>
                <wp:docPr id="1" name="自选图形 2"/>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14C7C949"/>
                        </w:txbxContent>
                      </wps:txbx>
                      <wps:bodyPr upright="1"/>
                    </wps:wsp>
                  </a:graphicData>
                </a:graphic>
              </wp:anchor>
            </w:drawing>
          </mc:Choice>
          <mc:Fallback>
            <w:pict>
              <v:shape id="自选图形 2" o:spid="_x0000_s1026" o:spt="87" type="#_x0000_t87" style="position:absolute;left:0pt;margin-left:78.85pt;margin-top:7.2pt;height:33.75pt;width:16.5pt;z-index:251659264;mso-width-relative:page;mso-height-relative:page;" filled="f" stroked="t" coordsize="21600,21600" o:gfxdata="UEsDBAoAAAAAAIdO4kAAAAAAAAAAAAAAAAAEAAAAZHJzL1BLAwQUAAAACACHTuJAWfv9odkAAAAJ&#10;AQAADwAAAGRycy9kb3ducmV2LnhtbE2Py2rDMBBF94X+g5hCN6GRbNw6diwH+giFFAp5fIBsT21T&#10;a2Qs5dG/72TV7ubOXO6cW6wudhAnnHzvSEM0VyCQatf01Go47NcPCxA+GGrM4Ag1/KCHVXl7U5i8&#10;cWfa4mkXWsEh5HOjoQthzKX0dYfW+Lkbkfj25SZrAsuplc1kzhxuBxkr9SSt6Yk/dGbElw7r793R&#10;aph9ZvHsfRtcsona+O11n348ryut7+8itQQR8BL+zHDFZ3QomalyR2q8GFg/pilbeUgSEFdDpnhR&#10;aVhEGciykP8blL9QSwMEFAAAAAgAh07iQDiLjkUoAgAAUQQAAA4AAABkcnMvZTJvRG9jLnhtbK1U&#10;zY7TMBC+I/EOlu80abRddqOmK0FZLghWWniAqe00Rv6T7TbpjRviGbhx5B2Wt1kJ3oKxG7plufRA&#10;Duk4Hn/zfd+MO78atCJb4YO0pqHTSUmJMMxyadYN/fD++tkFJSGC4aCsEQ3diUCvFk+fzHtXi8p2&#10;VnHhCYKYUPeuoV2Mri6KwDqhIUysEwY3W+s1RFz6dcE99IiuVVGV5XnRW8+dt0yEgF+X+006IvpT&#10;AG3bSiaWlm20MHGP6oWCiJJCJ12gi8y2bQWL79o2iEhUQ1FpzG8sgvEqvYvFHOq1B9dJNlKAUyg8&#10;0qRBGix6gFpCBLLx8h8oLZm3wbZxwqwu9kKyI6hiWj7y5rYDJ7IWtDq4g+nh/8Gyt9sbTyTHSaDE&#10;gMaG//z8/denL/dff9zffSNVcqh3ocbEW3fjx1XAMMkdWq/TLwohQ3Z1d3BVDJEw/FiVl7MZ+s1w&#10;66y6OK9mCbN4OOx8iK+F1SQFDVWijS88sKQcati+CTE7y0d+wD8i11YrbNQWFJk+L88yJLp/lFMd&#10;58xKfMayIyIS+FM4wRt7LZXK46AM6Rt6OUOihAGOeIujhaF2aFMw68wrWCV5OpIOB79evVSeIB2U&#10;n5+x2F9pqd4SQrfPy1spDepOAH9lOIk7hw0weO9ooqAFp0QJvKYpypkRpDolE9Upgy6n1u2blaI4&#10;rAaESeHK8h12fuO8XHfo+jQTTjs4abk9461Io3y8zqAP/wS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n7/aHZAAAACQEAAA8AAAAAAAAAAQAgAAAAIgAAAGRycy9kb3ducmV2LnhtbFBLAQIUABQA&#10;AAAIAIdO4kA4i45FKAIAAFEEAAAOAAAAAAAAAAEAIAAAACgBAABkcnMvZTJvRG9jLnhtbFBLBQYA&#10;AAAABgAGAFkBAADCBQAAAAA=&#10;" adj="1799,10800">
                <v:fill on="f" focussize="0,0"/>
                <v:stroke color="#000000" joinstyle="round"/>
                <v:imagedata o:title=""/>
                <o:lock v:ext="edit" aspectratio="f"/>
                <v:textbox>
                  <w:txbxContent>
                    <w:p w14:paraId="14C7C949"/>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Input: AC 110V–220V Frequency: 50 Hz</w:t>
      </w:r>
    </w:p>
    <w:p w14:paraId="00AF236C">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 Power supply voltage:</w:t>
      </w:r>
    </w:p>
    <w:p w14:paraId="7D7102AD">
      <w:pPr>
        <w:rPr>
          <w:rFonts w:hint="eastAsia" w:eastAsia="宋体"/>
          <w:sz w:val="24"/>
          <w:szCs w:val="24"/>
          <w:lang w:val="en-US" w:eastAsia="zh-CN"/>
        </w:rPr>
      </w:pPr>
      <w:r>
        <w:rPr>
          <w:rFonts w:hint="eastAsia" w:ascii="Times New Roman" w:eastAsia="微软雅黑" w:hAnsiTheme="minorHAnsi" w:cstheme="minorBidi"/>
          <w:kern w:val="2"/>
          <w:sz w:val="24"/>
          <w:szCs w:val="24"/>
          <w:lang w:val="en-US" w:eastAsia="zh-CN" w:bidi="ar-SA"/>
        </w:rPr>
        <w:t xml:space="preserve">                 2、 output ：DC24V8.8A</w:t>
      </w:r>
    </w:p>
    <w:p w14:paraId="18272F2E">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60288" behindDoc="0" locked="0" layoutInCell="1" allowOverlap="1">
                <wp:simplePos x="0" y="0"/>
                <wp:positionH relativeFrom="column">
                  <wp:posOffset>1036955</wp:posOffset>
                </wp:positionH>
                <wp:positionV relativeFrom="paragraph">
                  <wp:posOffset>87630</wp:posOffset>
                </wp:positionV>
                <wp:extent cx="209550" cy="428625"/>
                <wp:effectExtent l="4445" t="4445" r="1905" b="11430"/>
                <wp:wrapNone/>
                <wp:docPr id="2" name="自选图形 3"/>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49F88F7A"/>
                        </w:txbxContent>
                      </wps:txbx>
                      <wps:bodyPr upright="1"/>
                    </wps:wsp>
                  </a:graphicData>
                </a:graphic>
              </wp:anchor>
            </w:drawing>
          </mc:Choice>
          <mc:Fallback>
            <w:pict>
              <v:shape id="自选图形 3" o:spid="_x0000_s1026" o:spt="87" type="#_x0000_t87" style="position:absolute;left:0pt;margin-left:81.65pt;margin-top:6.9pt;height:33.75pt;width:16.5pt;z-index:251660288;mso-width-relative:page;mso-height-relative:page;" filled="f" stroked="t" coordsize="21600,21600" o:gfxdata="UEsDBAoAAAAAAIdO4kAAAAAAAAAAAAAAAAAEAAAAZHJzL1BLAwQUAAAACACHTuJAjuPmD9kAAAAJ&#10;AQAADwAAAGRycy9kb3ducmV2LnhtbE2P3UrDQBCF7wXfYRnBm2I3PxLbmE2hahFaENr6AJvsmIRm&#10;Z0N2++PbO72yd3NmDme+UywuthcnHH3nSEE8jUAg1c501Cj43q+eZiB80GR07wgV/KKHRXl/V+jc&#10;uDNt8bQLjeAQ8rlW0IYw5FL6ukWr/dQNSHz7caPVgeXYSDPqM4fbXiZRlEmrO+IPrR7wrcX6sDta&#10;BZOveTL53Ab3vI6b5ON9/7JZriqlHh/i6BVEwEv4N8MVn9GhZKbKHcl40bPO0pStPKRc4WqYZ7yo&#10;FMziFGRZyNsG5R9QSwMEFAAAAAgAh07iQJ7xUFAqAgAAUQQAAA4AAABkcnMvZTJvRG9jLnhtbK1U&#10;zY7TMBC+I/EOlu80adguu1HTlaAsFwQrLTzA1HYSI//Jdtv0xg3xDNw48g7wNivBWzB2Q7sslx7I&#10;IR1nxt983zd251eDVmQjfJDWNHQ6KSkRhlkuTdfQ9++un1xQEiIYDsoa0dCdCPRq8fjRfOtqUdne&#10;Ki48QRAT6q1raB+jq4sisF5oCBPrhMFka72GiEvfFdzDFtG1KqqyPC+21nPnLRMh4NflPklHRH8K&#10;oG1bycTSsrUWJu5RvVAQUVLopQt0kdm2rWDxbdsGEYlqKCqN+Y1NMF6ld7GYQ915cL1kIwU4hcID&#10;TRqkwaYHqCVEIGsv/4HSknkbbBsnzOpiLyQ7giqm5QNvbntwImtBq4M7mB7+Hyx7s7nxRPKGVpQY&#10;0Djwn5++/fr4+e7Lj7vvX8nT5NDWhRoLb92NH1cBwyR3aL1OvyiEDNnV3cFVMUTC8GNVXs5m6DfD&#10;1Fl1cV7NEmZx3Ox8iK+E1SQFDVWijc89sKQcati8DjE7y0d+wD9MKWm1wkFtQJHps/IsQ6L792pQ&#10;z7FmVuIzth0RkcCfxgne2GupVD4OypBtQy9nSJQwwCPe4tHCUDu0KZgu8wpWSZ62pM3Bd6sXyhOk&#10;g/LzMzb7qyz1W0Lo93U5lcqg7gXwl4aTuHM4AIP3jiYKWnBKlMBrmqJcGUGqUypRnTLochrdflgp&#10;isNqQJgUrizf4eTXzsuuR9enmXDK4EnL4xlvRTrK99cZ9PhP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uPmD9kAAAAJAQAADwAAAAAAAAABACAAAAAiAAAAZHJzL2Rvd25yZXYueG1sUEsBAhQA&#10;FAAAAAgAh07iQJ7xUFAqAgAAUQQAAA4AAAAAAAAAAQAgAAAAKAEAAGRycy9lMm9Eb2MueG1sUEsF&#10;BgAAAAAGAAYAWQEAAMQFAAAAAA==&#10;" adj="1799,10800">
                <v:fill on="f" focussize="0,0"/>
                <v:stroke color="#000000" joinstyle="round"/>
                <v:imagedata o:title=""/>
                <o:lock v:ext="edit" aspectratio="f"/>
                <v:textbox>
                  <w:txbxContent>
                    <w:p w14:paraId="49F88F7A"/>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Switch signal</w:t>
      </w:r>
    </w:p>
    <w:p w14:paraId="1C390DC6">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II. Control Signal:</w:t>
      </w:r>
    </w:p>
    <w:p w14:paraId="073233C9">
      <w:pPr>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 xml:space="preserve">                 2、RS232</w:t>
      </w:r>
    </w:p>
    <w:p w14:paraId="1608BDA4">
      <w:pPr>
        <w:spacing w:line="360" w:lineRule="auto"/>
        <w:rPr>
          <w:rFonts w:hint="eastAsia"/>
          <w:sz w:val="24"/>
          <w:szCs w:val="24"/>
          <w:lang w:val="en-US" w:eastAsia="zh-CN"/>
        </w:rPr>
      </w:pPr>
      <w:r>
        <w:rPr>
          <w:rFonts w:hint="eastAsia" w:ascii="Times New Roman" w:eastAsia="微软雅黑" w:hAnsiTheme="minorHAnsi" w:cstheme="minorBidi"/>
          <w:kern w:val="2"/>
          <w:sz w:val="24"/>
          <w:szCs w:val="24"/>
          <w:lang w:val="en-US" w:eastAsia="zh-CN" w:bidi="ar-SA"/>
        </w:rPr>
        <w:t>III. Infrared Sensor: PNP/NPN</w:t>
      </w:r>
    </w:p>
    <w:p w14:paraId="17E346EE">
      <w:pPr>
        <w:spacing w:line="360" w:lineRule="auto"/>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IV. Motor: Brushless motor/Servo motor + Internal precision differential encoder Power: 100W</w:t>
      </w:r>
    </w:p>
    <w:p w14:paraId="04CE60D1">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V. Door Opening After Power Loss: When power is cut off, the passage remains unbraked and can be manually pushed open (or a battery may be added).</w:t>
      </w:r>
    </w:p>
    <w:p w14:paraId="59CD7051">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VI. Maximum rotational torque (N·m): rated torque 19 N·m, maximum overload torque 80 N·m</w:t>
      </w:r>
    </w:p>
    <w:p w14:paraId="2194920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VII. Collisions Prevention Brake: 100 N·m</w:t>
      </w:r>
    </w:p>
    <w:p w14:paraId="360865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8. Gate opening/closing speed: 600–1500 mm per channel (0.3–1 second); slower speed for wider channels (consult before finalizing width adjustments).</w:t>
      </w:r>
    </w:p>
    <w:p w14:paraId="21B210E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9. Traffic Light Signals: Green light indicates通行; red light indicates prohibition of passage.</w:t>
      </w:r>
    </w:p>
    <w:p w14:paraId="09C47B17">
      <w:pPr>
        <w:spacing w:line="360" w:lineRule="auto"/>
        <w:rPr>
          <w:rFonts w:hint="eastAsia" w:eastAsia="宋体"/>
          <w:sz w:val="24"/>
          <w:szCs w:val="24"/>
          <w:lang w:eastAsia="zh-CN"/>
        </w:rPr>
      </w:pPr>
      <w:r>
        <w:rPr>
          <w:rFonts w:hint="eastAsia" w:ascii="Times New Roman" w:eastAsia="微软雅黑" w:hAnsiTheme="minorHAnsi" w:cstheme="minorBidi"/>
          <w:kern w:val="2"/>
          <w:sz w:val="24"/>
          <w:szCs w:val="24"/>
          <w:lang w:val="en-US" w:eastAsia="zh-CN" w:bidi="ar-SA"/>
        </w:rPr>
        <w:t>X. Voice Prompt: Voice/Bell</w:t>
      </w:r>
    </w:p>
    <w:p w14:paraId="7F578A8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XI. Current Prevention: Present</w:t>
      </w:r>
    </w:p>
    <w:p w14:paraId="5DE65B9A">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XII. Gate Synchronization: CAN</w:t>
      </w:r>
    </w:p>
    <w:p w14:paraId="389AAEE4">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13. Power Supply: Two power supplies (24V/8.8A) per channel group</w:t>
      </w:r>
    </w:p>
    <w:p w14:paraId="4505611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14. Throughput rate: 25–35 passengers per minute.</w:t>
      </w:r>
    </w:p>
    <w:p w14:paraId="358B0743">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15. Working environment temperature: -30°C to 60°C</w:t>
      </w:r>
    </w:p>
    <w:p w14:paraId="09D058B0">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16. Service Life: Over 5 million consecutive open-close cycles.</w:t>
      </w:r>
    </w:p>
    <w:p w14:paraId="482BA68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17. Work noise: below 60 decibels.</w:t>
      </w:r>
    </w:p>
    <w:p w14:paraId="310CFC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18. Relative humidity: ≤95%, no condensation.</w:t>
      </w:r>
    </w:p>
    <w:p w14:paraId="0CFFDDDB">
      <w:pPr>
        <w:spacing w:line="360" w:lineRule="auto"/>
        <w:rPr>
          <w:rFonts w:hint="eastAsia"/>
          <w:sz w:val="22"/>
          <w:szCs w:val="22"/>
        </w:rPr>
      </w:pPr>
    </w:p>
    <w:p w14:paraId="1B18C8C5">
      <w:pPr>
        <w:spacing w:line="360" w:lineRule="auto"/>
        <w:rPr>
          <w:rFonts w:hint="eastAsia"/>
          <w:sz w:val="22"/>
          <w:szCs w:val="22"/>
        </w:rPr>
      </w:pPr>
    </w:p>
    <w:p w14:paraId="4B48F5F6">
      <w:pPr>
        <w:spacing w:line="360" w:lineRule="auto"/>
        <w:rPr>
          <w:rFonts w:hint="eastAsia"/>
          <w:sz w:val="22"/>
          <w:szCs w:val="22"/>
        </w:rPr>
      </w:pPr>
    </w:p>
    <w:p w14:paraId="3D7E571C">
      <w:pPr>
        <w:spacing w:line="360" w:lineRule="auto"/>
        <w:rPr>
          <w:rFonts w:hint="eastAsia"/>
          <w:sz w:val="22"/>
          <w:szCs w:val="22"/>
        </w:rPr>
      </w:pPr>
    </w:p>
    <w:p w14:paraId="58F0A85C">
      <w:pPr>
        <w:spacing w:line="360" w:lineRule="auto"/>
        <w:jc w:val="left"/>
        <w:rPr>
          <w:rFonts w:hint="eastAsia" w:ascii="黑体" w:hAnsi="黑体" w:eastAsia="黑体" w:cs="Tahoma"/>
          <w:b/>
          <w:bCs/>
          <w:color w:val="333333"/>
          <w:sz w:val="36"/>
          <w:szCs w:val="36"/>
          <w:lang w:val="en-US" w:eastAsia="zh-CN"/>
        </w:rPr>
      </w:pPr>
    </w:p>
    <w:p w14:paraId="3008860D">
      <w:pPr>
        <w:spacing w:line="360" w:lineRule="auto"/>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Configuration List:</w:t>
      </w:r>
    </w:p>
    <w:p w14:paraId="39BC17BA">
      <w:pPr>
        <w:spacing w:line="360" w:lineRule="auto"/>
        <w:jc w:val="left"/>
        <w:rPr>
          <w:rFonts w:ascii="Tahoma" w:hAnsi="Tahoma" w:eastAsia="宋体" w:cs="Tahoma"/>
          <w:color w:val="333333"/>
          <w:sz w:val="30"/>
          <w:szCs w:val="30"/>
        </w:rPr>
      </w:pPr>
    </w:p>
    <w:tbl>
      <w:tblPr>
        <w:tblStyle w:val="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06"/>
        <w:gridCol w:w="7659"/>
      </w:tblGrid>
      <w:tr w14:paraId="58E2FC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3954F7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model</w:t>
            </w:r>
          </w:p>
        </w:tc>
        <w:tc>
          <w:tcPr>
            <w:tcW w:w="7659" w:type="dxa"/>
          </w:tcPr>
          <w:p w14:paraId="4811340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KMS-T5566</w:t>
            </w:r>
          </w:p>
        </w:tc>
      </w:tr>
      <w:tr w14:paraId="74A5F4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shd w:val="clear" w:color="auto" w:fill="auto"/>
            <w:vAlign w:val="top"/>
          </w:tcPr>
          <w:p w14:paraId="3F3938EB">
            <w:pPr>
              <w:jc w:val="center"/>
              <w:rPr>
                <w:rFonts w:hint="eastAsia"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Case material</w:t>
            </w:r>
          </w:p>
        </w:tc>
        <w:tc>
          <w:tcPr>
            <w:tcW w:w="7659" w:type="dxa"/>
            <w:shd w:val="clear" w:color="auto" w:fill="auto"/>
            <w:vAlign w:val="top"/>
          </w:tcPr>
          <w:p w14:paraId="046BD143">
            <w:pPr>
              <w:jc w:val="center"/>
              <w:rPr>
                <w:rFonts w:hint="default"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Domestic standard 304 stainless steel with thicknesses of 1.5 mm + 1.2 mm; 201 stainless steel coated with paint.</w:t>
            </w:r>
          </w:p>
        </w:tc>
      </w:tr>
      <w:tr w14:paraId="05B60D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FA053E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size</w:t>
            </w:r>
          </w:p>
        </w:tc>
        <w:tc>
          <w:tcPr>
            <w:tcW w:w="7659" w:type="dxa"/>
          </w:tcPr>
          <w:p w14:paraId="3D41290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1500*120*1000mm</w:t>
            </w:r>
          </w:p>
        </w:tc>
      </w:tr>
      <w:tr w14:paraId="3714142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C94A05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gangway width</w:t>
            </w:r>
          </w:p>
        </w:tc>
        <w:tc>
          <w:tcPr>
            <w:tcW w:w="7659" w:type="dxa"/>
          </w:tcPr>
          <w:p w14:paraId="2579654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600-1500mm</w:t>
            </w:r>
          </w:p>
        </w:tc>
      </w:tr>
      <w:tr w14:paraId="646EB9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C978D0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infrared</w:t>
            </w:r>
          </w:p>
        </w:tc>
        <w:tc>
          <w:tcPr>
            <w:tcW w:w="7659" w:type="dxa"/>
          </w:tcPr>
          <w:p w14:paraId="7B98F57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 pairs (Jietek)</w:t>
            </w:r>
          </w:p>
        </w:tc>
      </w:tr>
      <w:tr w14:paraId="2D5C5AE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D88C91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source</w:t>
            </w:r>
          </w:p>
        </w:tc>
        <w:tc>
          <w:tcPr>
            <w:tcW w:w="7659" w:type="dxa"/>
          </w:tcPr>
          <w:p w14:paraId="0187D24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8.8A 24V (Mingwei)</w:t>
            </w:r>
          </w:p>
        </w:tc>
      </w:tr>
      <w:tr w14:paraId="0752B6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BF357DA">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Arm swing material</w:t>
            </w:r>
          </w:p>
        </w:tc>
        <w:tc>
          <w:tcPr>
            <w:tcW w:w="7659" w:type="dxa"/>
          </w:tcPr>
          <w:p w14:paraId="199149D2">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Stainless steel swing door/Acrylon swing door (optional)</w:t>
            </w:r>
          </w:p>
        </w:tc>
      </w:tr>
      <w:tr w14:paraId="072A10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0A946EF4">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working voltage</w:t>
            </w:r>
          </w:p>
        </w:tc>
        <w:tc>
          <w:tcPr>
            <w:tcW w:w="7659" w:type="dxa"/>
          </w:tcPr>
          <w:p w14:paraId="6D9ECAF9">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AC220V±10%/50HZ</w:t>
            </w:r>
          </w:p>
        </w:tc>
      </w:tr>
      <w:tr w14:paraId="28DFA9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DE29917">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plant capacity</w:t>
            </w:r>
          </w:p>
        </w:tc>
        <w:tc>
          <w:tcPr>
            <w:tcW w:w="7659" w:type="dxa"/>
          </w:tcPr>
          <w:p w14:paraId="1002262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80W</w:t>
            </w:r>
          </w:p>
        </w:tc>
      </w:tr>
      <w:tr w14:paraId="23ED45B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831B681">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service environment</w:t>
            </w:r>
          </w:p>
        </w:tc>
        <w:tc>
          <w:tcPr>
            <w:tcW w:w="7659" w:type="dxa"/>
          </w:tcPr>
          <w:p w14:paraId="1717FD5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Indoor and outdoor</w:t>
            </w:r>
          </w:p>
        </w:tc>
      </w:tr>
      <w:tr w14:paraId="5DB617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52E384F">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end-use temperature</w:t>
            </w:r>
          </w:p>
        </w:tc>
        <w:tc>
          <w:tcPr>
            <w:tcW w:w="7659" w:type="dxa"/>
          </w:tcPr>
          <w:p w14:paraId="2AA8BA41">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Temperature range: -10°C to 70°C; Relative humidity: ≤95%; No condensation.</w:t>
            </w:r>
          </w:p>
        </w:tc>
      </w:tr>
      <w:tr w14:paraId="0A5608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DDEF12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Input Interface</w:t>
            </w:r>
          </w:p>
        </w:tc>
        <w:tc>
          <w:tcPr>
            <w:tcW w:w="7659" w:type="dxa"/>
          </w:tcPr>
          <w:p w14:paraId="668331D5">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Relay dry contact signal or a 12V pulse signal with a pulse width ≥100 ms</w:t>
            </w:r>
          </w:p>
        </w:tc>
      </w:tr>
      <w:tr w14:paraId="4E8D8A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8" w:hRule="atLeast"/>
        </w:trPr>
        <w:tc>
          <w:tcPr>
            <w:tcW w:w="2106" w:type="dxa"/>
          </w:tcPr>
          <w:p w14:paraId="06BBB49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CI</w:t>
            </w:r>
          </w:p>
        </w:tc>
        <w:tc>
          <w:tcPr>
            <w:tcW w:w="7659" w:type="dxa"/>
          </w:tcPr>
          <w:p w14:paraId="37BC9F53">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RS485 standard: Distance ≤1200 meters</w:t>
            </w:r>
          </w:p>
        </w:tc>
      </w:tr>
    </w:tbl>
    <w:p w14:paraId="338F9F42">
      <w:pPr>
        <w:rPr>
          <w:rFonts w:hint="eastAsia" w:ascii="黑体" w:hAnsi="黑体" w:eastAsia="黑体" w:cs="Tahoma"/>
          <w:b/>
          <w:bCs/>
          <w:color w:val="333333"/>
          <w:sz w:val="36"/>
          <w:szCs w:val="36"/>
        </w:rPr>
      </w:pPr>
    </w:p>
    <w:p w14:paraId="5367D824">
      <w:pPr>
        <w:rPr>
          <w:rFonts w:hint="eastAsia" w:ascii="黑体" w:hAnsi="黑体" w:eastAsia="黑体" w:cs="Tahoma"/>
          <w:b/>
          <w:bCs/>
          <w:color w:val="333333"/>
          <w:sz w:val="36"/>
          <w:szCs w:val="36"/>
        </w:rPr>
      </w:pPr>
    </w:p>
    <w:p w14:paraId="658F7957">
      <w:pPr>
        <w:rPr>
          <w:rFonts w:hint="eastAsia" w:ascii="黑体" w:hAnsi="黑体" w:eastAsia="黑体" w:cs="Tahoma"/>
          <w:b/>
          <w:bCs/>
          <w:color w:val="333333"/>
          <w:sz w:val="36"/>
          <w:szCs w:val="36"/>
        </w:rPr>
      </w:pPr>
    </w:p>
    <w:p w14:paraId="235922E7">
      <w:pPr>
        <w:rPr>
          <w:rFonts w:hint="eastAsia" w:ascii="黑体" w:hAnsi="黑体" w:eastAsia="黑体" w:cs="Tahoma"/>
          <w:b/>
          <w:bCs/>
          <w:color w:val="333333"/>
          <w:sz w:val="36"/>
          <w:szCs w:val="36"/>
        </w:rPr>
      </w:pPr>
    </w:p>
    <w:p w14:paraId="118A3CED">
      <w:pPr>
        <w:rPr>
          <w:rFonts w:hint="eastAsia" w:ascii="黑体" w:hAnsi="黑体" w:eastAsia="黑体" w:cs="Tahoma"/>
          <w:b/>
          <w:bCs/>
          <w:color w:val="333333"/>
          <w:sz w:val="36"/>
          <w:szCs w:val="36"/>
        </w:rPr>
      </w:pPr>
    </w:p>
    <w:p w14:paraId="1034377B">
      <w:pPr>
        <w:rPr>
          <w:rFonts w:hint="eastAsia" w:ascii="黑体" w:hAnsi="黑体" w:eastAsia="黑体" w:cs="Tahoma"/>
          <w:b/>
          <w:bCs/>
          <w:color w:val="333333"/>
          <w:sz w:val="36"/>
          <w:szCs w:val="36"/>
        </w:rPr>
      </w:pPr>
    </w:p>
    <w:p w14:paraId="3D3DF8A3">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product size ：</w:t>
      </w:r>
    </w:p>
    <w:p w14:paraId="597030AC">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612255" cy="6243320"/>
            <wp:effectExtent l="0" t="0" r="4445" b="5080"/>
            <wp:docPr id="6" name="图片 6" descr="E:/科迈思智能/报价单/KeyShot 5/Renderings/产品图2026/速通门/KMS-T5566/KMS-T5566.pngKMS-T5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速通门/KMS-T5566/KMS-T5566.pngKMS-T5566"/>
                    <pic:cNvPicPr>
                      <a:picLocks noChangeAspect="1"/>
                    </pic:cNvPicPr>
                  </pic:nvPicPr>
                  <pic:blipFill>
                    <a:blip r:embed="rId7"/>
                    <a:srcRect l="2362" r="3526"/>
                    <a:stretch>
                      <a:fillRect/>
                    </a:stretch>
                  </pic:blipFill>
                  <pic:spPr>
                    <a:xfrm>
                      <a:off x="0" y="0"/>
                      <a:ext cx="6612255" cy="6243320"/>
                    </a:xfrm>
                    <a:prstGeom prst="rect">
                      <a:avLst/>
                    </a:prstGeom>
                  </pic:spPr>
                </pic:pic>
              </a:graphicData>
            </a:graphic>
          </wp:inline>
        </w:drawing>
      </w:r>
    </w:p>
    <w:p w14:paraId="012A4264">
      <w:pPr>
        <w:rPr>
          <w:rFonts w:hint="eastAsia" w:ascii="黑体" w:hAnsi="黑体" w:eastAsia="黑体" w:cs="Tahoma"/>
          <w:b/>
          <w:color w:val="333333"/>
          <w:sz w:val="36"/>
          <w:szCs w:val="36"/>
          <w:lang w:eastAsia="zh-CN"/>
        </w:rPr>
      </w:pPr>
    </w:p>
    <w:p w14:paraId="209DAD0B">
      <w:pPr>
        <w:rPr>
          <w:rFonts w:hint="eastAsia" w:ascii="黑体" w:hAnsi="黑体" w:eastAsia="黑体" w:cs="Tahoma"/>
          <w:b/>
          <w:color w:val="333333"/>
          <w:sz w:val="36"/>
          <w:szCs w:val="36"/>
          <w:lang w:eastAsia="zh-CN"/>
        </w:rPr>
      </w:pPr>
    </w:p>
    <w:p w14:paraId="2977618E">
      <w:pPr>
        <w:rPr>
          <w:rFonts w:hint="eastAsia" w:ascii="黑体" w:hAnsi="黑体" w:eastAsia="黑体" w:cs="Tahoma"/>
          <w:b/>
          <w:color w:val="333333"/>
          <w:sz w:val="36"/>
          <w:szCs w:val="36"/>
          <w:lang w:eastAsia="zh-CN"/>
        </w:rPr>
      </w:pPr>
    </w:p>
    <w:p w14:paraId="25B5375A">
      <w:pPr>
        <w:rPr>
          <w:rFonts w:hint="eastAsia" w:ascii="微软雅黑" w:hAnsi="微软雅黑" w:eastAsia="微软雅黑"/>
          <w:color w:val="666666"/>
          <w:sz w:val="24"/>
          <w:szCs w:val="24"/>
          <w:shd w:val="clear" w:color="auto" w:fill="FFFFFF"/>
        </w:rPr>
      </w:pPr>
    </w:p>
    <w:p w14:paraId="121E057F">
      <w:pPr>
        <w:rPr>
          <w:rFonts w:hint="eastAsia" w:ascii="黑体" w:hAnsi="黑体" w:eastAsia="黑体" w:cs="Tahoma"/>
          <w:b/>
          <w:bCs/>
          <w:color w:val="333333"/>
          <w:sz w:val="36"/>
          <w:szCs w:val="36"/>
        </w:rPr>
      </w:pPr>
    </w:p>
    <w:p w14:paraId="2B3ECB9E">
      <w:pPr>
        <w:rPr>
          <w:rFonts w:hint="eastAsia" w:ascii="微软雅黑" w:hAnsi="微软雅黑" w:eastAsia="黑体"/>
          <w:b/>
          <w:color w:val="666666"/>
          <w:sz w:val="24"/>
          <w:szCs w:val="24"/>
          <w:shd w:val="clear" w:color="auto" w:fill="FFFFFF"/>
          <w:lang w:eastAsia="zh-CN"/>
        </w:rPr>
      </w:pPr>
      <w:r>
        <w:rPr>
          <w:rFonts w:hint="eastAsia" w:ascii="Times New Roman" w:hAnsi="黑体" w:eastAsia="微软雅黑" w:cs="Tahoma"/>
          <w:b/>
          <w:color w:val="333333"/>
          <w:kern w:val="2"/>
          <w:sz w:val="36"/>
          <w:szCs w:val="36"/>
          <w:lang w:val="en-US" w:eastAsia="zh-CN" w:bidi="ar-SA"/>
        </w:rPr>
        <w:t>Product Features:</w:t>
      </w:r>
    </w:p>
    <w:p w14:paraId="1713CB22">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fault self-diagnosis and alarm alerts, facilitating user maintenance and operation;</w:t>
      </w:r>
    </w:p>
    <w:p w14:paraId="735624D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178EE87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7ED30E8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4B00EF1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386ACB3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Sound and light alarm functions: includes unauthorized intrusion detection and tailgating alerts;</w:t>
      </w:r>
    </w:p>
    <w:p w14:paraId="6D55680B">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31F92C9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7C7CE0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770A377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5EA22AA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1AF9351B">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entry/exit;</w:t>
      </w:r>
    </w:p>
    <w:p w14:paraId="71F487C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7F06B787">
      <w:pPr>
        <w:rPr>
          <w:rFonts w:ascii="微软雅黑" w:hAnsi="微软雅黑" w:eastAsia="微软雅黑"/>
          <w:b/>
          <w:color w:val="666666"/>
          <w:sz w:val="40"/>
          <w:szCs w:val="24"/>
          <w:shd w:val="clear" w:color="auto" w:fill="FFFFFF"/>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1979E">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For more contact information and product details, please visit the official website of KMSZN: https://www.kmszn.cn/</w:t>
    </w:r>
  </w:p>
  <w:p w14:paraId="616D7997">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25595">
    <w:pPr>
      <w:pStyle w:val="4"/>
      <w:jc w:val="right"/>
      <w:rPr>
        <w:rFonts w:hint="eastAsia" w:eastAsiaTheme="minorEastAsia"/>
        <w:lang w:eastAsia="zh-CN"/>
      </w:rPr>
    </w:pPr>
    <w:r>
      <w:rPr>
        <w:rFonts w:hint="eastAsia" w:eastAsiaTheme="minorEastAsia"/>
        <w:lang w:eastAsia="zh-CN"/>
      </w:rPr>
      <w:drawing>
        <wp:inline distT="0" distB="0" distL="114300" distR="114300">
          <wp:extent cx="1336675" cy="351155"/>
          <wp:effectExtent l="0" t="0" r="9525" b="0"/>
          <wp:docPr id="4" name="图片 4"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KEMSI2"/>
                  <pic:cNvPicPr>
                    <a:picLocks noChangeAspect="1"/>
                  </pic:cNvPicPr>
                </pic:nvPicPr>
                <pic:blipFill>
                  <a:blip r:embed="rId1"/>
                  <a:stretch>
                    <a:fillRect/>
                  </a:stretch>
                </pic:blipFill>
                <pic:spPr>
                  <a:xfrm>
                    <a:off x="0" y="0"/>
                    <a:ext cx="1336675" cy="3511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4ZWRiOTU2NTcwZTlkYzk1OWYxN2YzOTNlMTM1ODcifQ=="/>
  </w:docVars>
  <w:rsids>
    <w:rsidRoot w:val="00371604"/>
    <w:rsid w:val="00013426"/>
    <w:rsid w:val="00015144"/>
    <w:rsid w:val="00027293"/>
    <w:rsid w:val="000A71BE"/>
    <w:rsid w:val="000E27B5"/>
    <w:rsid w:val="0017096E"/>
    <w:rsid w:val="001844F4"/>
    <w:rsid w:val="001C7F25"/>
    <w:rsid w:val="001D1A43"/>
    <w:rsid w:val="001E6222"/>
    <w:rsid w:val="001F6BC8"/>
    <w:rsid w:val="0020668D"/>
    <w:rsid w:val="00270CD4"/>
    <w:rsid w:val="002C5857"/>
    <w:rsid w:val="00371604"/>
    <w:rsid w:val="0039169E"/>
    <w:rsid w:val="003A7C6E"/>
    <w:rsid w:val="003C25CB"/>
    <w:rsid w:val="00411A0C"/>
    <w:rsid w:val="00416676"/>
    <w:rsid w:val="004743CE"/>
    <w:rsid w:val="004C1FBC"/>
    <w:rsid w:val="004C599E"/>
    <w:rsid w:val="004E59BF"/>
    <w:rsid w:val="004F60E2"/>
    <w:rsid w:val="00500332"/>
    <w:rsid w:val="0051209B"/>
    <w:rsid w:val="00515897"/>
    <w:rsid w:val="005A4AD0"/>
    <w:rsid w:val="005B52CB"/>
    <w:rsid w:val="005D58DF"/>
    <w:rsid w:val="00603034"/>
    <w:rsid w:val="00611013"/>
    <w:rsid w:val="00614209"/>
    <w:rsid w:val="00641049"/>
    <w:rsid w:val="006925B0"/>
    <w:rsid w:val="006E26FC"/>
    <w:rsid w:val="007054AA"/>
    <w:rsid w:val="007C1A65"/>
    <w:rsid w:val="008541DC"/>
    <w:rsid w:val="00854EEC"/>
    <w:rsid w:val="0089543B"/>
    <w:rsid w:val="008B65E0"/>
    <w:rsid w:val="008C71DD"/>
    <w:rsid w:val="008C7324"/>
    <w:rsid w:val="008F3B49"/>
    <w:rsid w:val="008F685D"/>
    <w:rsid w:val="008F72EC"/>
    <w:rsid w:val="008F7F79"/>
    <w:rsid w:val="00904428"/>
    <w:rsid w:val="00924BED"/>
    <w:rsid w:val="009761C5"/>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12442"/>
    <w:rsid w:val="00E22419"/>
    <w:rsid w:val="00E6026B"/>
    <w:rsid w:val="00EA2D44"/>
    <w:rsid w:val="00EE43B5"/>
    <w:rsid w:val="00EE5F59"/>
    <w:rsid w:val="00F03C9C"/>
    <w:rsid w:val="00F50607"/>
    <w:rsid w:val="00F50BA4"/>
    <w:rsid w:val="00F718C4"/>
    <w:rsid w:val="00F81176"/>
    <w:rsid w:val="00F94835"/>
    <w:rsid w:val="00F97975"/>
    <w:rsid w:val="00FF7E42"/>
    <w:rsid w:val="01780EF9"/>
    <w:rsid w:val="037676E5"/>
    <w:rsid w:val="03E71A6B"/>
    <w:rsid w:val="071E2DB6"/>
    <w:rsid w:val="07A31B7F"/>
    <w:rsid w:val="0AA7129C"/>
    <w:rsid w:val="0B844E71"/>
    <w:rsid w:val="0DC932D7"/>
    <w:rsid w:val="0F931DEF"/>
    <w:rsid w:val="118C2F9A"/>
    <w:rsid w:val="118D3328"/>
    <w:rsid w:val="120C7C36"/>
    <w:rsid w:val="13A04ADA"/>
    <w:rsid w:val="13FB7F63"/>
    <w:rsid w:val="1553016D"/>
    <w:rsid w:val="16F0332F"/>
    <w:rsid w:val="176F3141"/>
    <w:rsid w:val="1AA8625E"/>
    <w:rsid w:val="1C251FB0"/>
    <w:rsid w:val="1F4D3D68"/>
    <w:rsid w:val="1F666BD8"/>
    <w:rsid w:val="20887022"/>
    <w:rsid w:val="209B4FA7"/>
    <w:rsid w:val="22BA4FAC"/>
    <w:rsid w:val="22D64075"/>
    <w:rsid w:val="23975054"/>
    <w:rsid w:val="248B0E8F"/>
    <w:rsid w:val="24EF008D"/>
    <w:rsid w:val="2665408D"/>
    <w:rsid w:val="2705317A"/>
    <w:rsid w:val="28C64B8B"/>
    <w:rsid w:val="29FD45DD"/>
    <w:rsid w:val="2A3A75DF"/>
    <w:rsid w:val="2C882884"/>
    <w:rsid w:val="2FFD5A30"/>
    <w:rsid w:val="330151F6"/>
    <w:rsid w:val="33437504"/>
    <w:rsid w:val="34D33E29"/>
    <w:rsid w:val="37403D5B"/>
    <w:rsid w:val="3A483652"/>
    <w:rsid w:val="3ACD3B57"/>
    <w:rsid w:val="3BEB698B"/>
    <w:rsid w:val="3D6C56BB"/>
    <w:rsid w:val="42B9333F"/>
    <w:rsid w:val="4504286C"/>
    <w:rsid w:val="45596713"/>
    <w:rsid w:val="47543636"/>
    <w:rsid w:val="477140C4"/>
    <w:rsid w:val="485D29BF"/>
    <w:rsid w:val="48F60B4F"/>
    <w:rsid w:val="49B93C25"/>
    <w:rsid w:val="4B7F0168"/>
    <w:rsid w:val="4D4C03CE"/>
    <w:rsid w:val="52B85E27"/>
    <w:rsid w:val="53F30FBF"/>
    <w:rsid w:val="58EB25F8"/>
    <w:rsid w:val="5B335F2F"/>
    <w:rsid w:val="5D092EE3"/>
    <w:rsid w:val="5FEF4354"/>
    <w:rsid w:val="61880654"/>
    <w:rsid w:val="61CA2A1B"/>
    <w:rsid w:val="61FA4982"/>
    <w:rsid w:val="62742588"/>
    <w:rsid w:val="628132A8"/>
    <w:rsid w:val="63D0424F"/>
    <w:rsid w:val="63DF02D4"/>
    <w:rsid w:val="65D52075"/>
    <w:rsid w:val="667D4DA8"/>
    <w:rsid w:val="66D37D3F"/>
    <w:rsid w:val="68066379"/>
    <w:rsid w:val="683055A2"/>
    <w:rsid w:val="69CE5072"/>
    <w:rsid w:val="6C8859AD"/>
    <w:rsid w:val="6DE60739"/>
    <w:rsid w:val="73612AB3"/>
    <w:rsid w:val="73C44DF0"/>
    <w:rsid w:val="7452064E"/>
    <w:rsid w:val="74575C64"/>
    <w:rsid w:val="74987BA2"/>
    <w:rsid w:val="74DA0D6F"/>
    <w:rsid w:val="75644ADD"/>
    <w:rsid w:val="75C7166F"/>
    <w:rsid w:val="780E632E"/>
    <w:rsid w:val="794A19D5"/>
    <w:rsid w:val="795D3C37"/>
    <w:rsid w:val="7AD24297"/>
    <w:rsid w:val="7D6733BC"/>
    <w:rsid w:val="7DDF179A"/>
    <w:rsid w:val="7FA501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6"/>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character" w:customStyle="1" w:styleId="11">
    <w:name w:val="批注框文本 Char"/>
    <w:basedOn w:val="8"/>
    <w:link w:val="2"/>
    <w:semiHidden/>
    <w:qFormat/>
    <w:uiPriority w:val="99"/>
    <w:rPr>
      <w:sz w:val="18"/>
      <w:szCs w:val="18"/>
    </w:rPr>
  </w:style>
  <w:style w:type="character" w:customStyle="1" w:styleId="12">
    <w:name w:val="apple-converted-space"/>
    <w:basedOn w:val="8"/>
    <w:qFormat/>
    <w:uiPriority w:val="0"/>
  </w:style>
  <w:style w:type="character" w:customStyle="1" w:styleId="13">
    <w:name w:val="页眉 字符"/>
    <w:qFormat/>
    <w:uiPriority w:val="99"/>
    <w:rPr>
      <w:sz w:val="18"/>
      <w:szCs w:val="18"/>
    </w:rPr>
  </w:style>
  <w:style w:type="paragraph" w:styleId="14">
    <w:name w:val="No Spacing"/>
    <w:link w:val="15"/>
    <w:qFormat/>
    <w:uiPriority w:val="1"/>
    <w:rPr>
      <w:rFonts w:asciiTheme="minorHAnsi" w:hAnsiTheme="minorHAnsi" w:eastAsiaTheme="minorEastAsia" w:cstheme="minorBidi"/>
      <w:kern w:val="0"/>
      <w:sz w:val="22"/>
      <w:szCs w:val="22"/>
      <w:lang w:val="en-US" w:eastAsia="zh-CN" w:bidi="ar-SA"/>
    </w:rPr>
  </w:style>
  <w:style w:type="character" w:customStyle="1" w:styleId="15">
    <w:name w:val="无间隔 Char"/>
    <w:basedOn w:val="8"/>
    <w:link w:val="14"/>
    <w:qFormat/>
    <w:uiPriority w:val="1"/>
    <w:rPr>
      <w:kern w:val="0"/>
      <w:sz w:val="22"/>
    </w:rPr>
  </w:style>
  <w:style w:type="character" w:customStyle="1" w:styleId="16">
    <w:name w:val="HTML 预设格式 Char"/>
    <w:basedOn w:val="8"/>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1004</Words>
  <Characters>1177</Characters>
  <Lines>4</Lines>
  <Paragraphs>1</Paragraphs>
  <TotalTime>0</TotalTime>
  <ScaleCrop>false</ScaleCrop>
  <LinksUpToDate>false</LinksUpToDate>
  <CharactersWithSpaces>1346</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2020-10-14T11:34:00Z</dcterms:created>
  <dc:creator>JYJ</dc:creator>
  <cp:lastModifiedBy>A通道闸管理系统</cp:lastModifiedBy>
  <cp:lastPrinted>2020-05-09T14:00:00Z</cp:lastPrinted>
  <dcterms:modified xsi:type="dcterms:W3CDTF">2026-05-27T13:47:54Z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6C58530D3E9F4310B4433B04B0A35CDA_13</vt:lpwstr>
  </property>
  <property fmtid="{D5CDD505-2E9C-101B-9397-08002B2CF9AE}" pid="4" name="commondata">
    <vt:lpwstr>eyJoZGlkIjoiMGVmMTY0ZDVjNjNkYjUzN2QxMWNkZmU2MTkyYWM3ODEifQ==</vt:lpwstr>
  </property>
  <property fmtid="{D5CDD505-2E9C-101B-9397-08002B2CF9AE}" pid="5" name="KSOTemplateDocerSaveRecord">
    <vt:lpwstr>eyJoZGlkIjoiNTk4ZWRiOTU2NTcwZTlkYzk1OWYxN2YzOTNlMTM1ODciLCJ1c2VySWQiOiI1MzA1NzM2NTgifQ==</vt:lpwstr>
  </property>
</Properties>
</file>