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3C2C1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color w:val="222222"/>
          <w:kern w:val="0"/>
          <w:sz w:val="32"/>
          <w:szCs w:val="32"/>
          <w:lang w:val="en-US" w:eastAsia="zh-CN"/>
        </w:rPr>
      </w:pPr>
      <w:bookmarkStart w:id="0" w:name="_GoBack"/>
      <w:bookmarkEnd w:id="0"/>
    </w:p>
    <w:p w14:paraId="4A0A18C7">
      <w:pPr>
        <w:jc w:val="center"/>
        <w:rPr>
          <w:rFonts w:hint="eastAsia" w:ascii="微软雅黑" w:hAnsi="微软雅黑" w:eastAsia="微软雅黑"/>
          <w:b/>
          <w:color w:val="666666"/>
          <w:sz w:val="84"/>
          <w:szCs w:val="84"/>
          <w:shd w:val="clear" w:color="auto" w:fill="FFFFFF"/>
          <w:lang w:val="en-US" w:eastAsia="zh-CN"/>
        </w:rPr>
      </w:pPr>
      <w:r>
        <w:rPr>
          <w:rFonts w:hint="eastAsia" w:ascii="Times New Roman" w:hAnsi="微软雅黑" w:eastAsia="微软雅黑" w:cstheme="minorBidi"/>
          <w:b/>
          <w:color w:val="666666"/>
          <w:kern w:val="2"/>
          <w:sz w:val="84"/>
          <w:szCs w:val="84"/>
          <w:shd w:val="clear" w:color="auto" w:fill="FFFFFF"/>
          <w:lang w:val="en-US" w:eastAsia="zh-CN" w:bidi="ar-SA"/>
        </w:rPr>
        <w:t>AB Speed Gate</w:t>
      </w:r>
    </w:p>
    <w:p w14:paraId="5056DFCC">
      <w:pPr>
        <w:ind w:firstLine="2101" w:firstLineChars="250"/>
        <w:rPr>
          <w:rFonts w:hint="eastAsia" w:ascii="微软雅黑" w:hAnsi="微软雅黑" w:eastAsia="微软雅黑"/>
          <w:b/>
          <w:color w:val="666666"/>
          <w:sz w:val="84"/>
          <w:szCs w:val="84"/>
          <w:shd w:val="clear" w:color="auto" w:fill="FFFFFF"/>
          <w:lang w:val="en-US" w:eastAsia="zh-CN"/>
        </w:rPr>
      </w:pPr>
    </w:p>
    <w:p w14:paraId="56FBF24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hint="eastAsia" w:ascii="微软雅黑" w:hAnsi="微软雅黑" w:eastAsia="微软雅黑" w:cs="宋体"/>
          <w:b/>
          <w:color w:val="222222"/>
          <w:kern w:val="0"/>
          <w:sz w:val="32"/>
          <w:szCs w:val="32"/>
          <w:lang w:val="en-US" w:eastAsia="zh-CN"/>
        </w:rPr>
      </w:pPr>
      <w:r>
        <w:rPr>
          <w:rFonts w:hint="eastAsia" w:ascii="微软雅黑" w:hAnsi="微软雅黑" w:eastAsia="微软雅黑" w:cs="宋体"/>
          <w:b/>
          <w:color w:val="222222"/>
          <w:kern w:val="0"/>
          <w:sz w:val="32"/>
          <w:szCs w:val="32"/>
          <w:lang w:val="en-US" w:eastAsia="zh-CN"/>
        </w:rPr>
        <w:drawing>
          <wp:inline distT="0" distB="0" distL="114300" distR="114300">
            <wp:extent cx="5426710" cy="3747135"/>
            <wp:effectExtent l="0" t="0" r="0" b="0"/>
            <wp:docPr id="5" name="图片 5" descr="E:/科迈思智能/报价单/KeyShot 5/Renderings/产品图2026/速通门/KMS-T5808/KMS-T5808.891.pngKMS-T5808.8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科迈思智能/报价单/KeyShot 5/Renderings/产品图2026/速通门/KMS-T5808/KMS-T5808.891.pngKMS-T5808.891"/>
                    <pic:cNvPicPr>
                      <a:picLocks noChangeAspect="1"/>
                    </pic:cNvPicPr>
                  </pic:nvPicPr>
                  <pic:blipFill>
                    <a:blip r:embed="rId6"/>
                    <a:srcRect l="9156" t="26832" r="8669" b="16423"/>
                    <a:stretch>
                      <a:fillRect/>
                    </a:stretch>
                  </pic:blipFill>
                  <pic:spPr>
                    <a:xfrm>
                      <a:off x="0" y="0"/>
                      <a:ext cx="5426710" cy="3747135"/>
                    </a:xfrm>
                    <a:prstGeom prst="rect">
                      <a:avLst/>
                    </a:prstGeom>
                  </pic:spPr>
                </pic:pic>
              </a:graphicData>
            </a:graphic>
          </wp:inline>
        </w:drawing>
      </w:r>
    </w:p>
    <w:p w14:paraId="20FC461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hint="eastAsia" w:ascii="微软雅黑" w:hAnsi="微软雅黑" w:eastAsia="微软雅黑" w:cs="宋体"/>
          <w:b/>
          <w:color w:val="222222"/>
          <w:kern w:val="0"/>
          <w:sz w:val="32"/>
          <w:szCs w:val="32"/>
          <w:lang w:val="en-US" w:eastAsia="zh-CN"/>
        </w:rPr>
      </w:pPr>
    </w:p>
    <w:p w14:paraId="6D9421E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ind w:left="280" w:hanging="240" w:hangingChars="100"/>
        <w:jc w:val="left"/>
        <w:rPr>
          <w:rFonts w:hint="eastAsia" w:ascii="微软雅黑" w:hAnsi="微软雅黑" w:eastAsia="微软雅黑" w:cs="宋体"/>
          <w:b/>
          <w:color w:val="222222"/>
          <w:kern w:val="0"/>
          <w:sz w:val="32"/>
          <w:szCs w:val="32"/>
          <w:lang w:val="en-US" w:eastAsia="zh-CN"/>
        </w:rPr>
      </w:pPr>
      <w:r>
        <w:rPr>
          <w:rFonts w:hint="eastAsia" w:ascii="Times New Roman" w:hAnsi="微软雅黑" w:eastAsia="微软雅黑" w:cstheme="minorBidi"/>
          <w:color w:val="666666"/>
          <w:kern w:val="2"/>
          <w:sz w:val="24"/>
          <w:szCs w:val="24"/>
          <w:shd w:val="clear" w:color="auto" w:fill="FFFFFF"/>
          <w:lang w:val="en-US" w:eastAsia="zh-CN" w:bidi="ar-SA"/>
        </w:rPr>
        <w:t>Product Description: The AB Speed Gate KMS-T5808 is a high-tech solution designed for intelligent management of personnel access areas, representing an upgraded version of smart swing gates and flap gates. Featuring precision manufacturing, comprehensive functionality, and premium quality, it is primarily intended for high-end venues such as residential complexes, schools, gyms, tourist attractions, office buildings, hotels, subway stations, ports, and clubs. This device seamlessly integrates mechanical, electronic, microprocessor-based control systems with various identity recognition technologies, supporting multiple access authentication methods including fingerprint, facial recognition, card swiping, password entry, second-generation ID cards, QR code scanning, iris recognition, and palm print identification.</w:t>
      </w:r>
    </w:p>
    <w:p w14:paraId="72634A3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val="en-US" w:eastAsia="zh-CN"/>
        </w:rPr>
      </w:pPr>
    </w:p>
    <w:p w14:paraId="0D2D300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eastAsia="zh-CN"/>
        </w:rPr>
      </w:pPr>
      <w:r>
        <w:rPr>
          <w:rFonts w:hint="eastAsia" w:ascii="Times New Roman" w:hAnsi="微软雅黑" w:eastAsia="微软雅黑" w:cs="宋体"/>
          <w:b w:val="0"/>
          <w:bCs/>
          <w:color w:val="222222"/>
          <w:kern w:val="0"/>
          <w:sz w:val="30"/>
          <w:szCs w:val="30"/>
          <w:lang w:val="en-US" w:eastAsia="zh-CN" w:bidi="ar-SA"/>
        </w:rPr>
        <w:t>Product Parameter ：</w:t>
      </w:r>
    </w:p>
    <w:p w14:paraId="26B1418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微软雅黑" w:hAnsi="微软雅黑" w:eastAsia="微软雅黑" w:cs="宋体"/>
          <w:b/>
          <w:color w:val="222222"/>
          <w:kern w:val="0"/>
          <w:sz w:val="32"/>
          <w:szCs w:val="32"/>
        </w:rPr>
      </w:pPr>
    </w:p>
    <w:p w14:paraId="227DCBC6">
      <w:pPr>
        <w:rPr>
          <w:rFonts w:hint="eastAsia" w:eastAsiaTheme="minorEastAsia"/>
          <w:sz w:val="24"/>
          <w:szCs w:val="24"/>
          <w:lang w:eastAsia="zh-CN"/>
        </w:rPr>
      </w:pPr>
      <w:r>
        <w:rPr>
          <w:rFonts w:hint="eastAsia" w:ascii="Times New Roman" w:eastAsia="微软雅黑"/>
          <w:sz w:val="24"/>
          <w:szCs w:val="24"/>
        </w:rPr>
        <mc:AlternateContent>
          <mc:Choice Requires="wps">
            <w:drawing>
              <wp:anchor distT="0" distB="0" distL="114300" distR="114300" simplePos="0" relativeHeight="251659264" behindDoc="0" locked="0" layoutInCell="1" allowOverlap="1">
                <wp:simplePos x="0" y="0"/>
                <wp:positionH relativeFrom="column">
                  <wp:posOffset>1001395</wp:posOffset>
                </wp:positionH>
                <wp:positionV relativeFrom="paragraph">
                  <wp:posOffset>91440</wp:posOffset>
                </wp:positionV>
                <wp:extent cx="209550" cy="428625"/>
                <wp:effectExtent l="4445" t="4445" r="1905" b="11430"/>
                <wp:wrapNone/>
                <wp:docPr id="1" name="自选图形 2"/>
                <wp:cNvGraphicFramePr/>
                <a:graphic xmlns:a="http://schemas.openxmlformats.org/drawingml/2006/main">
                  <a:graphicData uri="http://schemas.microsoft.com/office/word/2010/wordprocessingShape">
                    <wps:wsp>
                      <wps:cNvSpPr/>
                      <wps:spPr>
                        <a:xfrm>
                          <a:off x="0" y="0"/>
                          <a:ext cx="209550" cy="428625"/>
                        </a:xfrm>
                        <a:prstGeom prst="leftBrace">
                          <a:avLst>
                            <a:gd name="adj1" fmla="val 17045"/>
                            <a:gd name="adj2" fmla="val 50000"/>
                          </a:avLst>
                        </a:prstGeom>
                        <a:noFill/>
                        <a:ln w="9525" cap="flat" cmpd="sng">
                          <a:solidFill>
                            <a:srgbClr val="000000"/>
                          </a:solidFill>
                          <a:prstDash val="solid"/>
                          <a:headEnd type="none" w="med" len="med"/>
                          <a:tailEnd type="none" w="med" len="med"/>
                        </a:ln>
                      </wps:spPr>
                      <wps:txbx>
                        <w:txbxContent>
                          <w:p w14:paraId="36324B55"/>
                        </w:txbxContent>
                      </wps:txbx>
                      <wps:bodyPr upright="1"/>
                    </wps:wsp>
                  </a:graphicData>
                </a:graphic>
              </wp:anchor>
            </w:drawing>
          </mc:Choice>
          <mc:Fallback>
            <w:pict>
              <v:shape id="自选图形 2" o:spid="_x0000_s1026" o:spt="87" type="#_x0000_t87" style="position:absolute;left:0pt;margin-left:78.85pt;margin-top:7.2pt;height:33.75pt;width:16.5pt;z-index:251659264;mso-width-relative:page;mso-height-relative:page;" filled="f" stroked="t" coordsize="21600,21600" o:gfxdata="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Fn7/aHZAAAACQEAAA8AAAAAAAAAAQAgAAAAIgAAAGRycy9kb3ducmV2LnhtbFBLAQIUABQA&#10;AAAIAIdO4kA4i45FKAIAAFEEAAAOAAAAAAAAAAEAIAAAACgBAABkcnMvZTJvRG9jLnhtbFBLBQYA&#10;AAAABgAGAFkBAADCBQAAAAA=&#10;" adj="1799,10800">
                <v:fill on="f" focussize="0,0"/>
                <v:stroke color="#000000" joinstyle="round"/>
                <v:imagedata o:title=""/>
                <o:lock v:ext="edit" aspectratio="f"/>
                <v:textbox>
                  <w:txbxContent>
                    <w:p w14:paraId="36324B55"/>
                  </w:txbxContent>
                </v:textbox>
              </v:shape>
            </w:pict>
          </mc:Fallback>
        </mc:AlternateContent>
      </w:r>
      <w:r>
        <w:rPr>
          <w:rFonts w:hint="eastAsia" w:ascii="Times New Roman" w:eastAsia="微软雅黑" w:hAnsiTheme="minorHAnsi" w:cstheme="minorBidi"/>
          <w:kern w:val="2"/>
          <w:sz w:val="24"/>
          <w:szCs w:val="24"/>
          <w:lang w:val="en-US" w:eastAsia="zh-CN" w:bidi="ar-SA"/>
        </w:rPr>
        <w:t xml:space="preserve">                 1. Input: AC 110V–220V Frequency: 50 Hz</w:t>
      </w:r>
    </w:p>
    <w:p w14:paraId="00AF236C">
      <w:pPr>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 Power supply voltage:</w:t>
      </w:r>
    </w:p>
    <w:p w14:paraId="7D7102AD">
      <w:pPr>
        <w:rPr>
          <w:rFonts w:hint="eastAsia" w:eastAsia="宋体"/>
          <w:sz w:val="24"/>
          <w:szCs w:val="24"/>
          <w:lang w:val="en-US" w:eastAsia="zh-CN"/>
        </w:rPr>
      </w:pPr>
      <w:r>
        <w:rPr>
          <w:rFonts w:hint="eastAsia" w:ascii="Times New Roman" w:eastAsia="微软雅黑" w:hAnsiTheme="minorHAnsi" w:cstheme="minorBidi"/>
          <w:kern w:val="2"/>
          <w:sz w:val="24"/>
          <w:szCs w:val="24"/>
          <w:lang w:val="en-US" w:eastAsia="zh-CN" w:bidi="ar-SA"/>
        </w:rPr>
        <w:t xml:space="preserve">                 2、 output ：DC24V8.8A</w:t>
      </w:r>
    </w:p>
    <w:p w14:paraId="18272F2E">
      <w:pPr>
        <w:rPr>
          <w:rFonts w:hint="eastAsia" w:eastAsiaTheme="minorEastAsia"/>
          <w:sz w:val="24"/>
          <w:szCs w:val="24"/>
          <w:lang w:eastAsia="zh-CN"/>
        </w:rPr>
      </w:pPr>
      <w:r>
        <w:rPr>
          <w:rFonts w:hint="eastAsia" w:ascii="Times New Roman" w:eastAsia="微软雅黑"/>
          <w:sz w:val="24"/>
          <w:szCs w:val="24"/>
        </w:rPr>
        <mc:AlternateContent>
          <mc:Choice Requires="wps">
            <w:drawing>
              <wp:anchor distT="0" distB="0" distL="114300" distR="114300" simplePos="0" relativeHeight="251660288" behindDoc="0" locked="0" layoutInCell="1" allowOverlap="1">
                <wp:simplePos x="0" y="0"/>
                <wp:positionH relativeFrom="column">
                  <wp:posOffset>1036955</wp:posOffset>
                </wp:positionH>
                <wp:positionV relativeFrom="paragraph">
                  <wp:posOffset>87630</wp:posOffset>
                </wp:positionV>
                <wp:extent cx="209550" cy="428625"/>
                <wp:effectExtent l="4445" t="4445" r="1905" b="11430"/>
                <wp:wrapNone/>
                <wp:docPr id="2" name="自选图形 3"/>
                <wp:cNvGraphicFramePr/>
                <a:graphic xmlns:a="http://schemas.openxmlformats.org/drawingml/2006/main">
                  <a:graphicData uri="http://schemas.microsoft.com/office/word/2010/wordprocessingShape">
                    <wps:wsp>
                      <wps:cNvSpPr/>
                      <wps:spPr>
                        <a:xfrm>
                          <a:off x="0" y="0"/>
                          <a:ext cx="209550" cy="428625"/>
                        </a:xfrm>
                        <a:prstGeom prst="leftBrace">
                          <a:avLst>
                            <a:gd name="adj1" fmla="val 17045"/>
                            <a:gd name="adj2" fmla="val 50000"/>
                          </a:avLst>
                        </a:prstGeom>
                        <a:noFill/>
                        <a:ln w="9525" cap="flat" cmpd="sng">
                          <a:solidFill>
                            <a:srgbClr val="000000"/>
                          </a:solidFill>
                          <a:prstDash val="solid"/>
                          <a:headEnd type="none" w="med" len="med"/>
                          <a:tailEnd type="none" w="med" len="med"/>
                        </a:ln>
                      </wps:spPr>
                      <wps:txbx>
                        <w:txbxContent>
                          <w:p w14:paraId="3A86316C"/>
                        </w:txbxContent>
                      </wps:txbx>
                      <wps:bodyPr upright="1"/>
                    </wps:wsp>
                  </a:graphicData>
                </a:graphic>
              </wp:anchor>
            </w:drawing>
          </mc:Choice>
          <mc:Fallback>
            <w:pict>
              <v:shape id="自选图形 3" o:spid="_x0000_s1026" o:spt="87" type="#_x0000_t87" style="position:absolute;left:0pt;margin-left:81.65pt;margin-top:6.9pt;height:33.75pt;width:16.5pt;z-index:251660288;mso-width-relative:page;mso-height-relative:page;" filled="f" stroked="t" coordsize="21600,21600" o:gfxdata="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juPmD9kAAAAJAQAADwAAAAAAAAABACAAAAAiAAAAZHJzL2Rvd25yZXYueG1sUEsBAhQA&#10;FAAAAAgAh07iQJ7xUFAqAgAAUQQAAA4AAAAAAAAAAQAgAAAAKAEAAGRycy9lMm9Eb2MueG1sUEsF&#10;BgAAAAAGAAYAWQEAAMQFAAAAAA==&#10;" adj="1799,10800">
                <v:fill on="f" focussize="0,0"/>
                <v:stroke color="#000000" joinstyle="round"/>
                <v:imagedata o:title=""/>
                <o:lock v:ext="edit" aspectratio="f"/>
                <v:textbox>
                  <w:txbxContent>
                    <w:p w14:paraId="3A86316C"/>
                  </w:txbxContent>
                </v:textbox>
              </v:shape>
            </w:pict>
          </mc:Fallback>
        </mc:AlternateContent>
      </w:r>
      <w:r>
        <w:rPr>
          <w:rFonts w:hint="eastAsia" w:ascii="Times New Roman" w:eastAsia="微软雅黑" w:hAnsiTheme="minorHAnsi" w:cstheme="minorBidi"/>
          <w:kern w:val="2"/>
          <w:sz w:val="24"/>
          <w:szCs w:val="24"/>
          <w:lang w:val="en-US" w:eastAsia="zh-CN" w:bidi="ar-SA"/>
        </w:rPr>
        <w:t xml:space="preserve">                 1. Switch signal</w:t>
      </w:r>
    </w:p>
    <w:p w14:paraId="1C390DC6">
      <w:pPr>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II. Control Signal:</w:t>
      </w:r>
    </w:p>
    <w:p w14:paraId="073233C9">
      <w:pPr>
        <w:rPr>
          <w:rFonts w:hint="eastAsia" w:eastAsiaTheme="minorEastAsia"/>
          <w:sz w:val="24"/>
          <w:szCs w:val="24"/>
          <w:lang w:val="en-US" w:eastAsia="zh-CN"/>
        </w:rPr>
      </w:pPr>
      <w:r>
        <w:rPr>
          <w:rFonts w:hint="eastAsia" w:ascii="Times New Roman" w:eastAsia="微软雅黑" w:hAnsiTheme="minorHAnsi" w:cstheme="minorBidi"/>
          <w:kern w:val="2"/>
          <w:sz w:val="24"/>
          <w:szCs w:val="24"/>
          <w:lang w:val="en-US" w:eastAsia="zh-CN" w:bidi="ar-SA"/>
        </w:rPr>
        <w:t xml:space="preserve">                 2、RS232</w:t>
      </w:r>
    </w:p>
    <w:p w14:paraId="1608BDA4">
      <w:pPr>
        <w:spacing w:line="360" w:lineRule="auto"/>
        <w:rPr>
          <w:rFonts w:hint="eastAsia"/>
          <w:sz w:val="24"/>
          <w:szCs w:val="24"/>
          <w:lang w:val="en-US" w:eastAsia="zh-CN"/>
        </w:rPr>
      </w:pPr>
      <w:r>
        <w:rPr>
          <w:rFonts w:hint="eastAsia" w:ascii="Times New Roman" w:eastAsia="微软雅黑" w:hAnsiTheme="minorHAnsi" w:cstheme="minorBidi"/>
          <w:kern w:val="2"/>
          <w:sz w:val="24"/>
          <w:szCs w:val="24"/>
          <w:lang w:val="en-US" w:eastAsia="zh-CN" w:bidi="ar-SA"/>
        </w:rPr>
        <w:t>III. Infrared Sensor: PNP/NPN</w:t>
      </w:r>
    </w:p>
    <w:p w14:paraId="17E346EE">
      <w:pPr>
        <w:spacing w:line="360" w:lineRule="auto"/>
        <w:rPr>
          <w:rFonts w:hint="eastAsia" w:eastAsiaTheme="minorEastAsia"/>
          <w:sz w:val="24"/>
          <w:szCs w:val="24"/>
          <w:lang w:val="en-US" w:eastAsia="zh-CN"/>
        </w:rPr>
      </w:pPr>
      <w:r>
        <w:rPr>
          <w:rFonts w:hint="eastAsia" w:ascii="Times New Roman" w:eastAsia="微软雅黑" w:hAnsiTheme="minorHAnsi" w:cstheme="minorBidi"/>
          <w:kern w:val="2"/>
          <w:sz w:val="24"/>
          <w:szCs w:val="24"/>
          <w:lang w:val="en-US" w:eastAsia="zh-CN" w:bidi="ar-SA"/>
        </w:rPr>
        <w:t>IV. Motor: Brushless motor/Servo motor + Internal precision differential encoder Power: 100W</w:t>
      </w:r>
    </w:p>
    <w:p w14:paraId="04CE60D1">
      <w:pPr>
        <w:spacing w:line="360" w:lineRule="auto"/>
        <w:rPr>
          <w:rFonts w:hint="eastAsia"/>
          <w:sz w:val="24"/>
          <w:szCs w:val="24"/>
        </w:rPr>
      </w:pPr>
      <w:r>
        <w:rPr>
          <w:rFonts w:hint="eastAsia" w:ascii="Times New Roman" w:eastAsia="微软雅黑" w:hAnsiTheme="minorHAnsi" w:cstheme="minorBidi"/>
          <w:kern w:val="2"/>
          <w:sz w:val="24"/>
          <w:szCs w:val="24"/>
          <w:lang w:val="en-US" w:eastAsia="zh-CN" w:bidi="ar-SA"/>
        </w:rPr>
        <w:t>V. Door Opening After Power Loss: When power is cut off, the passage remains unbraked and can be manually pushed open (or a battery may be added).</w:t>
      </w:r>
    </w:p>
    <w:p w14:paraId="59CD7051">
      <w:pPr>
        <w:spacing w:line="360" w:lineRule="auto"/>
        <w:rPr>
          <w:rFonts w:hint="default" w:eastAsia="宋体"/>
          <w:sz w:val="24"/>
          <w:szCs w:val="24"/>
          <w:lang w:val="en-US" w:eastAsia="zh-CN"/>
        </w:rPr>
      </w:pPr>
      <w:r>
        <w:rPr>
          <w:rFonts w:hint="eastAsia" w:ascii="Times New Roman" w:eastAsia="微软雅黑" w:hAnsiTheme="minorHAnsi" w:cstheme="minorBidi"/>
          <w:kern w:val="2"/>
          <w:sz w:val="24"/>
          <w:szCs w:val="24"/>
          <w:lang w:val="en-US" w:eastAsia="zh-CN" w:bidi="ar-SA"/>
        </w:rPr>
        <w:t>VI. Maximum rotational torque (N·m): rated torque 19 N·m, maximum overload torque 80 N·m</w:t>
      </w:r>
    </w:p>
    <w:p w14:paraId="2194920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VII. Collisions Prevention Brake: 100 N·m</w:t>
      </w:r>
    </w:p>
    <w:p w14:paraId="36086598">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8. Gate opening/closing speed: 600–1500 mm per channel (0.3–1 second); slower speed for wider channels (consult before finalizing width adjustments).</w:t>
      </w:r>
    </w:p>
    <w:p w14:paraId="21B210E2">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IX. Traffic Light Signals: Green light indicates通行; red light prohibits通行.</w:t>
      </w:r>
    </w:p>
    <w:p w14:paraId="09C47B17">
      <w:pPr>
        <w:spacing w:line="360" w:lineRule="auto"/>
        <w:rPr>
          <w:rFonts w:hint="eastAsia" w:eastAsia="宋体"/>
          <w:sz w:val="24"/>
          <w:szCs w:val="24"/>
          <w:lang w:eastAsia="zh-CN"/>
        </w:rPr>
      </w:pPr>
      <w:r>
        <w:rPr>
          <w:rFonts w:hint="eastAsia" w:ascii="Times New Roman" w:eastAsia="微软雅黑" w:hAnsiTheme="minorHAnsi" w:cstheme="minorBidi"/>
          <w:kern w:val="2"/>
          <w:sz w:val="24"/>
          <w:szCs w:val="24"/>
          <w:lang w:val="en-US" w:eastAsia="zh-CN" w:bidi="ar-SA"/>
        </w:rPr>
        <w:t>X. Voice Prompt: Voice/Bell</w:t>
      </w:r>
    </w:p>
    <w:p w14:paraId="7F578A8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XI. Current Safety Protection: Available</w:t>
      </w:r>
    </w:p>
    <w:p w14:paraId="5DE65B9A">
      <w:pPr>
        <w:spacing w:line="360" w:lineRule="auto"/>
        <w:rPr>
          <w:rFonts w:hint="eastAsia"/>
          <w:sz w:val="24"/>
          <w:szCs w:val="24"/>
        </w:rPr>
      </w:pPr>
      <w:r>
        <w:rPr>
          <w:rFonts w:hint="eastAsia" w:ascii="Times New Roman" w:eastAsia="微软雅黑" w:hAnsiTheme="minorHAnsi" w:cstheme="minorBidi"/>
          <w:kern w:val="2"/>
          <w:sz w:val="24"/>
          <w:szCs w:val="24"/>
          <w:lang w:val="en-US" w:eastAsia="zh-CN" w:bidi="ar-SA"/>
        </w:rPr>
        <w:t>XII. Gate Synchronization: CAN</w:t>
      </w:r>
    </w:p>
    <w:p w14:paraId="389AAEE4">
      <w:pPr>
        <w:spacing w:line="360" w:lineRule="auto"/>
        <w:rPr>
          <w:rFonts w:hint="default" w:eastAsia="宋体"/>
          <w:sz w:val="24"/>
          <w:szCs w:val="24"/>
          <w:lang w:val="en-US" w:eastAsia="zh-CN"/>
        </w:rPr>
      </w:pPr>
      <w:r>
        <w:rPr>
          <w:rFonts w:hint="eastAsia" w:ascii="Times New Roman" w:eastAsia="微软雅黑" w:hAnsiTheme="minorHAnsi" w:cstheme="minorBidi"/>
          <w:kern w:val="2"/>
          <w:sz w:val="24"/>
          <w:szCs w:val="24"/>
          <w:lang w:val="en-US" w:eastAsia="zh-CN" w:bidi="ar-SA"/>
        </w:rPr>
        <w:t>13. Power Supply: Two power supplies (24V/8.8A) per channel group</w:t>
      </w:r>
    </w:p>
    <w:p w14:paraId="5718A796">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14. Throughput rate: 25–35 passengers per minute.</w:t>
      </w:r>
    </w:p>
    <w:p w14:paraId="795A7964">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15. Working environment temperature: -30°C to 60°C</w:t>
      </w:r>
    </w:p>
    <w:p w14:paraId="0CFC5A02">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16. Service life: Over 5 million consecutive open-close cycles.</w:t>
      </w:r>
    </w:p>
    <w:p w14:paraId="6F0CAF25">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17. Work noise: below 60 decibels.</w:t>
      </w:r>
    </w:p>
    <w:p w14:paraId="310CFC98">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18. Relative humidity: ≤95%, no condensation.</w:t>
      </w:r>
    </w:p>
    <w:p w14:paraId="0CFFDDDB">
      <w:pPr>
        <w:spacing w:line="360" w:lineRule="auto"/>
        <w:rPr>
          <w:rFonts w:hint="eastAsia"/>
          <w:sz w:val="22"/>
          <w:szCs w:val="22"/>
        </w:rPr>
      </w:pPr>
    </w:p>
    <w:p w14:paraId="1B18C8C5">
      <w:pPr>
        <w:spacing w:line="360" w:lineRule="auto"/>
        <w:rPr>
          <w:rFonts w:hint="eastAsia"/>
          <w:sz w:val="22"/>
          <w:szCs w:val="22"/>
        </w:rPr>
      </w:pPr>
    </w:p>
    <w:p w14:paraId="4B48F5F6">
      <w:pPr>
        <w:spacing w:line="360" w:lineRule="auto"/>
        <w:rPr>
          <w:rFonts w:hint="eastAsia"/>
          <w:sz w:val="22"/>
          <w:szCs w:val="22"/>
        </w:rPr>
      </w:pPr>
    </w:p>
    <w:p w14:paraId="3D7E571C">
      <w:pPr>
        <w:spacing w:line="360" w:lineRule="auto"/>
        <w:rPr>
          <w:rFonts w:hint="eastAsia"/>
          <w:sz w:val="22"/>
          <w:szCs w:val="22"/>
        </w:rPr>
      </w:pPr>
    </w:p>
    <w:p w14:paraId="58F0A85C">
      <w:pPr>
        <w:spacing w:line="360" w:lineRule="auto"/>
        <w:jc w:val="left"/>
        <w:rPr>
          <w:rFonts w:hint="eastAsia" w:ascii="黑体" w:hAnsi="黑体" w:eastAsia="黑体" w:cs="Tahoma"/>
          <w:b/>
          <w:bCs/>
          <w:color w:val="333333"/>
          <w:sz w:val="36"/>
          <w:szCs w:val="36"/>
          <w:lang w:val="en-US" w:eastAsia="zh-CN"/>
        </w:rPr>
      </w:pPr>
    </w:p>
    <w:p w14:paraId="3008860D">
      <w:pPr>
        <w:spacing w:line="360" w:lineRule="auto"/>
        <w:jc w:val="left"/>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Configuration List:</w:t>
      </w:r>
    </w:p>
    <w:p w14:paraId="39BC17BA">
      <w:pPr>
        <w:spacing w:line="360" w:lineRule="auto"/>
        <w:jc w:val="left"/>
        <w:rPr>
          <w:rFonts w:ascii="Tahoma" w:hAnsi="Tahoma" w:eastAsia="宋体" w:cs="Tahoma"/>
          <w:color w:val="333333"/>
          <w:sz w:val="30"/>
          <w:szCs w:val="30"/>
        </w:rPr>
      </w:pPr>
    </w:p>
    <w:tbl>
      <w:tblPr>
        <w:tblStyle w:val="7"/>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106"/>
        <w:gridCol w:w="7659"/>
      </w:tblGrid>
      <w:tr w14:paraId="58E2FC3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73954F7B">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product model</w:t>
            </w:r>
          </w:p>
        </w:tc>
        <w:tc>
          <w:tcPr>
            <w:tcW w:w="7659" w:type="dxa"/>
          </w:tcPr>
          <w:p w14:paraId="48113402">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KMS-T5808</w:t>
            </w:r>
          </w:p>
        </w:tc>
      </w:tr>
      <w:tr w14:paraId="74A5F46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shd w:val="clear" w:color="auto" w:fill="auto"/>
            <w:vAlign w:val="top"/>
          </w:tcPr>
          <w:p w14:paraId="3F3938EB">
            <w:pPr>
              <w:jc w:val="center"/>
              <w:rPr>
                <w:rFonts w:hint="eastAsia" w:ascii="微软雅黑" w:hAnsi="微软雅黑" w:eastAsia="微软雅黑" w:cstheme="minorBidi"/>
                <w:b w:val="0"/>
                <w:bCs/>
                <w:color w:val="666666"/>
                <w:kern w:val="2"/>
                <w:sz w:val="21"/>
                <w:szCs w:val="21"/>
                <w:shd w:val="clear" w:color="auto" w:fill="FFFFFF"/>
                <w:lang w:val="en-US" w:eastAsia="zh-CN" w:bidi="ar-SA"/>
              </w:rPr>
            </w:pPr>
            <w:r>
              <w:rPr>
                <w:rFonts w:hint="eastAsia" w:ascii="Times New Roman" w:hAnsi="微软雅黑" w:eastAsia="微软雅黑" w:cstheme="minorBidi"/>
                <w:b w:val="0"/>
                <w:bCs/>
                <w:color w:val="666666"/>
                <w:kern w:val="2"/>
                <w:sz w:val="21"/>
                <w:szCs w:val="21"/>
                <w:shd w:val="clear" w:color="auto" w:fill="FFFFFF"/>
                <w:lang w:val="en-US" w:eastAsia="zh-CN" w:bidi="ar-SA"/>
              </w:rPr>
              <w:t>Case material</w:t>
            </w:r>
          </w:p>
        </w:tc>
        <w:tc>
          <w:tcPr>
            <w:tcW w:w="7659" w:type="dxa"/>
            <w:shd w:val="clear" w:color="auto" w:fill="auto"/>
            <w:vAlign w:val="top"/>
          </w:tcPr>
          <w:p w14:paraId="046BD143">
            <w:pPr>
              <w:jc w:val="center"/>
              <w:rPr>
                <w:rFonts w:hint="default" w:ascii="微软雅黑" w:hAnsi="微软雅黑" w:eastAsia="微软雅黑" w:cstheme="minorBidi"/>
                <w:b w:val="0"/>
                <w:bCs/>
                <w:color w:val="666666"/>
                <w:kern w:val="2"/>
                <w:sz w:val="21"/>
                <w:szCs w:val="21"/>
                <w:shd w:val="clear" w:color="auto" w:fill="FFFFFF"/>
                <w:lang w:val="en-US" w:eastAsia="zh-CN" w:bidi="ar-SA"/>
              </w:rPr>
            </w:pPr>
            <w:r>
              <w:rPr>
                <w:rFonts w:hint="eastAsia" w:ascii="Times New Roman" w:hAnsi="微软雅黑" w:eastAsia="微软雅黑" w:cstheme="minorBidi"/>
                <w:b w:val="0"/>
                <w:bCs/>
                <w:color w:val="666666"/>
                <w:kern w:val="2"/>
                <w:sz w:val="21"/>
                <w:szCs w:val="21"/>
                <w:shd w:val="clear" w:color="auto" w:fill="FFFFFF"/>
                <w:lang w:val="en-US" w:eastAsia="zh-CN" w:bidi="ar-SA"/>
              </w:rPr>
              <w:t>Domestic standard: 304 stainless steel with thickness of 1.5 + 1.2 mm; 201 stainless steel with painted finish.</w:t>
            </w:r>
          </w:p>
        </w:tc>
      </w:tr>
      <w:tr w14:paraId="05B60DC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FA053E6">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product size</w:t>
            </w:r>
          </w:p>
        </w:tc>
        <w:tc>
          <w:tcPr>
            <w:tcW w:w="7659" w:type="dxa"/>
          </w:tcPr>
          <w:p w14:paraId="3D41290C">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2600*150*1000mm</w:t>
            </w:r>
          </w:p>
        </w:tc>
      </w:tr>
      <w:tr w14:paraId="3714142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C94A050">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gangway width</w:t>
            </w:r>
          </w:p>
        </w:tc>
        <w:tc>
          <w:tcPr>
            <w:tcW w:w="7659" w:type="dxa"/>
          </w:tcPr>
          <w:p w14:paraId="25796548">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600-1500mm</w:t>
            </w:r>
          </w:p>
        </w:tc>
      </w:tr>
      <w:tr w14:paraId="646EB9B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3C978D0B">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infrared</w:t>
            </w:r>
          </w:p>
        </w:tc>
        <w:tc>
          <w:tcPr>
            <w:tcW w:w="7659" w:type="dxa"/>
          </w:tcPr>
          <w:p w14:paraId="7B98F570">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12 pairs (Jietek)</w:t>
            </w:r>
          </w:p>
        </w:tc>
      </w:tr>
      <w:tr w14:paraId="2D5C5AE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D88C919">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source</w:t>
            </w:r>
          </w:p>
        </w:tc>
        <w:tc>
          <w:tcPr>
            <w:tcW w:w="7659" w:type="dxa"/>
          </w:tcPr>
          <w:p w14:paraId="0187D249">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8.8A 24V (Mingwei)</w:t>
            </w:r>
          </w:p>
        </w:tc>
      </w:tr>
      <w:tr w14:paraId="0752B68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BF357DA">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Arm swing material</w:t>
            </w:r>
          </w:p>
        </w:tc>
        <w:tc>
          <w:tcPr>
            <w:tcW w:w="7659" w:type="dxa"/>
          </w:tcPr>
          <w:p w14:paraId="199149D2">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Stainless steel swing door/Acrylon swing door (optional)</w:t>
            </w:r>
          </w:p>
        </w:tc>
      </w:tr>
      <w:tr w14:paraId="072A10E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0A946EF4">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working voltage</w:t>
            </w:r>
          </w:p>
        </w:tc>
        <w:tc>
          <w:tcPr>
            <w:tcW w:w="7659" w:type="dxa"/>
          </w:tcPr>
          <w:p w14:paraId="6D9ECAF9">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AC220V±10%/50HZ</w:t>
            </w:r>
          </w:p>
        </w:tc>
      </w:tr>
      <w:tr w14:paraId="28DFA9A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3DE29917">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plant capacity</w:t>
            </w:r>
          </w:p>
        </w:tc>
        <w:tc>
          <w:tcPr>
            <w:tcW w:w="7659" w:type="dxa"/>
          </w:tcPr>
          <w:p w14:paraId="10022622">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150W</w:t>
            </w:r>
          </w:p>
        </w:tc>
      </w:tr>
      <w:tr w14:paraId="23ED45B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831B681">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service environment</w:t>
            </w:r>
          </w:p>
        </w:tc>
        <w:tc>
          <w:tcPr>
            <w:tcW w:w="7659" w:type="dxa"/>
          </w:tcPr>
          <w:p w14:paraId="1717FD58">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Indoor and outdoor</w:t>
            </w:r>
          </w:p>
        </w:tc>
      </w:tr>
      <w:tr w14:paraId="5DB6170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52E384F">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end-use temperature</w:t>
            </w:r>
          </w:p>
        </w:tc>
        <w:tc>
          <w:tcPr>
            <w:tcW w:w="7659" w:type="dxa"/>
          </w:tcPr>
          <w:p w14:paraId="2AA8BA41">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-10°C to 70°C; Relative humidity: ≤95%; No condensation</w:t>
            </w:r>
          </w:p>
        </w:tc>
      </w:tr>
      <w:tr w14:paraId="0A56084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7DDEF126">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Input Interface</w:t>
            </w:r>
          </w:p>
        </w:tc>
        <w:tc>
          <w:tcPr>
            <w:tcW w:w="7659" w:type="dxa"/>
          </w:tcPr>
          <w:p w14:paraId="668331D5">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Relay dry contact signal or a 12V pulse signal with a pulse width ≥100 ms</w:t>
            </w:r>
          </w:p>
        </w:tc>
      </w:tr>
      <w:tr w14:paraId="4E8D8A0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78" w:hRule="atLeast"/>
        </w:trPr>
        <w:tc>
          <w:tcPr>
            <w:tcW w:w="2106" w:type="dxa"/>
          </w:tcPr>
          <w:p w14:paraId="06BBB49C">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CI</w:t>
            </w:r>
          </w:p>
        </w:tc>
        <w:tc>
          <w:tcPr>
            <w:tcW w:w="7659" w:type="dxa"/>
          </w:tcPr>
          <w:p w14:paraId="37BC9F53">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RS485 standard: Distance ≤1200 meters</w:t>
            </w:r>
          </w:p>
        </w:tc>
      </w:tr>
    </w:tbl>
    <w:p w14:paraId="338F9F42">
      <w:pPr>
        <w:rPr>
          <w:rFonts w:hint="eastAsia" w:ascii="黑体" w:hAnsi="黑体" w:eastAsia="黑体" w:cs="Tahoma"/>
          <w:b/>
          <w:bCs/>
          <w:color w:val="333333"/>
          <w:sz w:val="36"/>
          <w:szCs w:val="36"/>
        </w:rPr>
      </w:pPr>
    </w:p>
    <w:p w14:paraId="5367D824">
      <w:pPr>
        <w:rPr>
          <w:rFonts w:hint="eastAsia" w:ascii="黑体" w:hAnsi="黑体" w:eastAsia="黑体" w:cs="Tahoma"/>
          <w:b/>
          <w:bCs/>
          <w:color w:val="333333"/>
          <w:sz w:val="36"/>
          <w:szCs w:val="36"/>
        </w:rPr>
      </w:pPr>
    </w:p>
    <w:p w14:paraId="658F7957">
      <w:pPr>
        <w:rPr>
          <w:rFonts w:hint="eastAsia" w:ascii="黑体" w:hAnsi="黑体" w:eastAsia="黑体" w:cs="Tahoma"/>
          <w:b/>
          <w:bCs/>
          <w:color w:val="333333"/>
          <w:sz w:val="36"/>
          <w:szCs w:val="36"/>
        </w:rPr>
      </w:pPr>
    </w:p>
    <w:p w14:paraId="235922E7">
      <w:pPr>
        <w:rPr>
          <w:rFonts w:hint="eastAsia" w:ascii="黑体" w:hAnsi="黑体" w:eastAsia="黑体" w:cs="Tahoma"/>
          <w:b/>
          <w:bCs/>
          <w:color w:val="333333"/>
          <w:sz w:val="36"/>
          <w:szCs w:val="36"/>
        </w:rPr>
      </w:pPr>
    </w:p>
    <w:p w14:paraId="118A3CED">
      <w:pPr>
        <w:rPr>
          <w:rFonts w:hint="eastAsia" w:ascii="黑体" w:hAnsi="黑体" w:eastAsia="黑体" w:cs="Tahoma"/>
          <w:b/>
          <w:bCs/>
          <w:color w:val="333333"/>
          <w:sz w:val="36"/>
          <w:szCs w:val="36"/>
        </w:rPr>
      </w:pPr>
    </w:p>
    <w:p w14:paraId="1034377B">
      <w:pPr>
        <w:rPr>
          <w:rFonts w:hint="eastAsia" w:ascii="黑体" w:hAnsi="黑体" w:eastAsia="黑体" w:cs="Tahoma"/>
          <w:b/>
          <w:bCs/>
          <w:color w:val="333333"/>
          <w:sz w:val="36"/>
          <w:szCs w:val="36"/>
        </w:rPr>
      </w:pPr>
    </w:p>
    <w:p w14:paraId="3D3DF8A3">
      <w:pPr>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product size ：</w:t>
      </w:r>
    </w:p>
    <w:p w14:paraId="597030AC">
      <w:pPr>
        <w:rPr>
          <w:rFonts w:hint="eastAsia" w:ascii="黑体" w:hAnsi="黑体" w:eastAsia="黑体" w:cs="Tahoma"/>
          <w:b/>
          <w:color w:val="333333"/>
          <w:sz w:val="36"/>
          <w:szCs w:val="36"/>
          <w:lang w:eastAsia="zh-CN"/>
        </w:rPr>
      </w:pPr>
      <w:r>
        <w:rPr>
          <w:rFonts w:hint="eastAsia" w:ascii="黑体" w:hAnsi="黑体" w:eastAsia="黑体" w:cs="Tahoma"/>
          <w:b/>
          <w:color w:val="333333"/>
          <w:sz w:val="36"/>
          <w:szCs w:val="36"/>
          <w:lang w:eastAsia="zh-CN"/>
        </w:rPr>
        <w:drawing>
          <wp:inline distT="0" distB="0" distL="114300" distR="114300">
            <wp:extent cx="6498590" cy="5741035"/>
            <wp:effectExtent l="0" t="0" r="0" b="0"/>
            <wp:docPr id="6" name="图片 6" descr="E:/科迈思智能/报价单/KeyShot 5/Renderings/产品图2026/速通门/KMS-T5808/KMS-T5808.pngKMS-T5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科迈思智能/报价单/KeyShot 5/Renderings/产品图2026/速通门/KMS-T5808/KMS-T5808.pngKMS-T5808"/>
                    <pic:cNvPicPr>
                      <a:picLocks noChangeAspect="1"/>
                    </pic:cNvPicPr>
                  </pic:nvPicPr>
                  <pic:blipFill>
                    <a:blip r:embed="rId7"/>
                    <a:srcRect l="3528" r="1225"/>
                    <a:stretch>
                      <a:fillRect/>
                    </a:stretch>
                  </pic:blipFill>
                  <pic:spPr>
                    <a:xfrm>
                      <a:off x="0" y="0"/>
                      <a:ext cx="6498590" cy="5741035"/>
                    </a:xfrm>
                    <a:prstGeom prst="rect">
                      <a:avLst/>
                    </a:prstGeom>
                  </pic:spPr>
                </pic:pic>
              </a:graphicData>
            </a:graphic>
          </wp:inline>
        </w:drawing>
      </w:r>
    </w:p>
    <w:p w14:paraId="012A4264">
      <w:pPr>
        <w:rPr>
          <w:rFonts w:hint="eastAsia" w:ascii="黑体" w:hAnsi="黑体" w:eastAsia="黑体" w:cs="Tahoma"/>
          <w:b/>
          <w:color w:val="333333"/>
          <w:sz w:val="36"/>
          <w:szCs w:val="36"/>
          <w:lang w:eastAsia="zh-CN"/>
        </w:rPr>
      </w:pPr>
    </w:p>
    <w:p w14:paraId="209DAD0B">
      <w:pPr>
        <w:rPr>
          <w:rFonts w:hint="eastAsia" w:ascii="黑体" w:hAnsi="黑体" w:eastAsia="黑体" w:cs="Tahoma"/>
          <w:b/>
          <w:color w:val="333333"/>
          <w:sz w:val="36"/>
          <w:szCs w:val="36"/>
          <w:lang w:eastAsia="zh-CN"/>
        </w:rPr>
      </w:pPr>
    </w:p>
    <w:p w14:paraId="4A9B2723">
      <w:pPr>
        <w:rPr>
          <w:rFonts w:hint="eastAsia" w:ascii="黑体" w:hAnsi="黑体" w:eastAsia="黑体" w:cs="Tahoma"/>
          <w:b/>
          <w:color w:val="333333"/>
          <w:sz w:val="36"/>
          <w:szCs w:val="36"/>
          <w:lang w:eastAsia="zh-CN"/>
        </w:rPr>
      </w:pPr>
    </w:p>
    <w:p w14:paraId="38F3410E">
      <w:pPr>
        <w:rPr>
          <w:rFonts w:hint="eastAsia" w:ascii="黑体" w:hAnsi="黑体" w:eastAsia="黑体" w:cs="Tahoma"/>
          <w:b/>
          <w:color w:val="333333"/>
          <w:sz w:val="36"/>
          <w:szCs w:val="36"/>
          <w:lang w:eastAsia="zh-CN"/>
        </w:rPr>
      </w:pPr>
    </w:p>
    <w:p w14:paraId="12FCFBFA">
      <w:pPr>
        <w:rPr>
          <w:rFonts w:hint="eastAsia" w:ascii="黑体" w:hAnsi="黑体" w:eastAsia="黑体" w:cs="Tahoma"/>
          <w:b/>
          <w:color w:val="333333"/>
          <w:sz w:val="36"/>
          <w:szCs w:val="36"/>
          <w:lang w:eastAsia="zh-CN"/>
        </w:rPr>
      </w:pPr>
    </w:p>
    <w:p w14:paraId="276901F5">
      <w:pPr>
        <w:rPr>
          <w:rFonts w:hint="eastAsia" w:ascii="黑体" w:hAnsi="黑体" w:eastAsia="黑体" w:cs="Tahoma"/>
          <w:b/>
          <w:bCs/>
          <w:color w:val="333333"/>
          <w:sz w:val="36"/>
          <w:szCs w:val="36"/>
        </w:rPr>
      </w:pPr>
    </w:p>
    <w:p w14:paraId="2B3ECB9E">
      <w:pPr>
        <w:rPr>
          <w:rFonts w:hint="eastAsia" w:ascii="微软雅黑" w:hAnsi="微软雅黑" w:eastAsia="黑体"/>
          <w:b/>
          <w:color w:val="666666"/>
          <w:sz w:val="24"/>
          <w:szCs w:val="24"/>
          <w:shd w:val="clear" w:color="auto" w:fill="FFFFFF"/>
          <w:lang w:eastAsia="zh-CN"/>
        </w:rPr>
      </w:pPr>
      <w:r>
        <w:rPr>
          <w:rFonts w:hint="eastAsia" w:ascii="Times New Roman" w:hAnsi="黑体" w:eastAsia="微软雅黑" w:cs="Tahoma"/>
          <w:b/>
          <w:color w:val="333333"/>
          <w:kern w:val="2"/>
          <w:sz w:val="36"/>
          <w:szCs w:val="36"/>
          <w:lang w:val="en-US" w:eastAsia="zh-CN" w:bidi="ar-SA"/>
        </w:rPr>
        <w:t>Product Features:</w:t>
      </w:r>
    </w:p>
    <w:p w14:paraId="191D9AF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Features built-in fault self-diagnosis and alarm alerts, facilitating user maintenance and operation;</w:t>
      </w:r>
    </w:p>
    <w:p w14:paraId="3F904B6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operating status of the programmable device can be monitored via the built-in small control panel on the main board;</w:t>
      </w:r>
    </w:p>
    <w:p w14:paraId="6C66E117">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motherboard settings are operated via an LCD display with Chinese-language interface, offering convenience and efficiency.</w:t>
      </w:r>
    </w:p>
    <w:p w14:paraId="37C56B8B">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◇Fire Mode Settings: When a special situation occurs, the turnstile activates fire mode, triggers an alarm, and opens automatically.</w:t>
      </w:r>
    </w:p>
    <w:p w14:paraId="33637B2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◇Anti-lock mechanism: If resistance occurs during arm repositioning, the system automatically rebounds or stops motor operation within a specified time frame with minimal force (≤2 kg).</w:t>
      </w:r>
    </w:p>
    <w:p w14:paraId="5294AB47">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◇Audio and visual alarm functions: includes unauthorized entry detection and tailgating alerts;</w:t>
      </w:r>
    </w:p>
    <w:p w14:paraId="7656EE65">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Anti-slip function: The swing arm automatically locks when no gate opening signal is received.</w:t>
      </w:r>
    </w:p>
    <w:p w14:paraId="3A3AFEC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◇Scalable arm synchronization function;</w:t>
      </w:r>
    </w:p>
    <w:p w14:paraId="7B65826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system features an automatic reset function: if no vehicle passes through within the specified time after gate opening, the user's passage permission will be automatically revoked. By default, the system resets automatically 10 seconds after activation.</w:t>
      </w:r>
    </w:p>
    <w:p w14:paraId="6719C885">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passage automatically opens after power outage and closes upon power restoration;</w:t>
      </w:r>
    </w:p>
    <w:p w14:paraId="257EFBC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Compatible with various card readers;</w:t>
      </w:r>
    </w:p>
    <w:p w14:paraId="19EE98A4">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allows one-way or two-way control of personnel entry and exit;</w:t>
      </w:r>
    </w:p>
    <w:p w14:paraId="71F487C4">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Remote control and management can be performed directly via the management computer;</w:t>
      </w:r>
    </w:p>
    <w:p w14:paraId="7F06B787">
      <w:pPr>
        <w:rPr>
          <w:rFonts w:ascii="微软雅黑" w:hAnsi="微软雅黑" w:eastAsia="微软雅黑"/>
          <w:b/>
          <w:color w:val="666666"/>
          <w:sz w:val="40"/>
          <w:szCs w:val="24"/>
          <w:shd w:val="clear" w:color="auto" w:fill="FFFFFF"/>
        </w:rPr>
      </w:pPr>
    </w:p>
    <w:sectPr>
      <w:headerReference r:id="rId3" w:type="default"/>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A1979E">
    <w:pPr>
      <w:pStyle w:val="3"/>
      <w:rPr>
        <w:rFonts w:hint="eastAsia" w:eastAsiaTheme="minorEastAsia"/>
        <w:lang w:eastAsia="zh-CN"/>
      </w:rPr>
    </w:pPr>
    <w:r>
      <w:rPr>
        <w:rFonts w:hint="eastAsia" w:ascii="Times New Roman" w:eastAsia="微软雅黑" w:hAnsiTheme="minorHAnsi" w:cstheme="minorBidi"/>
        <w:kern w:val="2"/>
        <w:sz w:val="18"/>
        <w:szCs w:val="18"/>
        <w:lang w:val="en-US" w:eastAsia="zh-CN" w:bidi="ar-SA"/>
      </w:rPr>
      <w:t>For more contact information and product details, please visit the official website of KMSZN: https://www.kmszn.cn/</w:t>
    </w:r>
  </w:p>
  <w:p w14:paraId="616D7997">
    <w:pPr>
      <w:pStyle w:val="3"/>
      <w:rPr>
        <w:rFonts w:hint="eastAsia" w:eastAsiaTheme="minorEastAsia"/>
        <w:lang w:eastAsia="zh-CN"/>
      </w:rPr>
    </w:pPr>
    <w:r>
      <w:rPr>
        <w:rFonts w:hint="eastAsia" w:ascii="Times New Roman" w:eastAsia="微软雅黑" w:hAnsiTheme="minorHAnsi" w:cstheme="minorBidi"/>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925595">
    <w:pPr>
      <w:pStyle w:val="4"/>
      <w:jc w:val="right"/>
      <w:rPr>
        <w:rFonts w:hint="eastAsia" w:eastAsiaTheme="minorEastAsia"/>
        <w:lang w:eastAsia="zh-CN"/>
      </w:rPr>
    </w:pPr>
    <w:r>
      <w:rPr>
        <w:rFonts w:hint="eastAsia" w:eastAsiaTheme="minorEastAsia"/>
        <w:lang w:eastAsia="zh-CN"/>
      </w:rPr>
      <w:drawing>
        <wp:inline distT="0" distB="0" distL="114300" distR="114300">
          <wp:extent cx="1336675" cy="351155"/>
          <wp:effectExtent l="0" t="0" r="9525" b="0"/>
          <wp:docPr id="4" name="图片 4"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KEMSI2"/>
                  <pic:cNvPicPr>
                    <a:picLocks noChangeAspect="1"/>
                  </pic:cNvPicPr>
                </pic:nvPicPr>
                <pic:blipFill>
                  <a:blip r:embed="rId1"/>
                  <a:stretch>
                    <a:fillRect/>
                  </a:stretch>
                </pic:blipFill>
                <pic:spPr>
                  <a:xfrm>
                    <a:off x="0" y="0"/>
                    <a:ext cx="1336675" cy="3511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k4ZWRiOTU2NTcwZTlkYzk1OWYxN2YzOTNlMTM1ODcifQ=="/>
  </w:docVars>
  <w:rsids>
    <w:rsidRoot w:val="00371604"/>
    <w:rsid w:val="00013426"/>
    <w:rsid w:val="00015144"/>
    <w:rsid w:val="00027293"/>
    <w:rsid w:val="000A71BE"/>
    <w:rsid w:val="000E27B5"/>
    <w:rsid w:val="0017096E"/>
    <w:rsid w:val="001844F4"/>
    <w:rsid w:val="001C7F25"/>
    <w:rsid w:val="001D1A43"/>
    <w:rsid w:val="001E6222"/>
    <w:rsid w:val="001F6BC8"/>
    <w:rsid w:val="0020668D"/>
    <w:rsid w:val="00270CD4"/>
    <w:rsid w:val="002C5857"/>
    <w:rsid w:val="00371604"/>
    <w:rsid w:val="0039169E"/>
    <w:rsid w:val="003A7C6E"/>
    <w:rsid w:val="003C25CB"/>
    <w:rsid w:val="00411A0C"/>
    <w:rsid w:val="00416676"/>
    <w:rsid w:val="004743CE"/>
    <w:rsid w:val="004C1FBC"/>
    <w:rsid w:val="004C599E"/>
    <w:rsid w:val="004E59BF"/>
    <w:rsid w:val="004F60E2"/>
    <w:rsid w:val="00500332"/>
    <w:rsid w:val="0051209B"/>
    <w:rsid w:val="00515897"/>
    <w:rsid w:val="005A4AD0"/>
    <w:rsid w:val="005B52CB"/>
    <w:rsid w:val="005D58DF"/>
    <w:rsid w:val="00603034"/>
    <w:rsid w:val="00611013"/>
    <w:rsid w:val="00614209"/>
    <w:rsid w:val="00641049"/>
    <w:rsid w:val="006925B0"/>
    <w:rsid w:val="006E26FC"/>
    <w:rsid w:val="007054AA"/>
    <w:rsid w:val="007C1A65"/>
    <w:rsid w:val="008541DC"/>
    <w:rsid w:val="00854EEC"/>
    <w:rsid w:val="0089543B"/>
    <w:rsid w:val="008B65E0"/>
    <w:rsid w:val="008C71DD"/>
    <w:rsid w:val="008C7324"/>
    <w:rsid w:val="008F3B49"/>
    <w:rsid w:val="008F685D"/>
    <w:rsid w:val="008F72EC"/>
    <w:rsid w:val="008F7F79"/>
    <w:rsid w:val="00904428"/>
    <w:rsid w:val="00924BED"/>
    <w:rsid w:val="009761C5"/>
    <w:rsid w:val="009E48CC"/>
    <w:rsid w:val="00A075E4"/>
    <w:rsid w:val="00A55DD6"/>
    <w:rsid w:val="00A76360"/>
    <w:rsid w:val="00A77E46"/>
    <w:rsid w:val="00A954AB"/>
    <w:rsid w:val="00AF5E08"/>
    <w:rsid w:val="00BC5682"/>
    <w:rsid w:val="00BD1A17"/>
    <w:rsid w:val="00C4093F"/>
    <w:rsid w:val="00C65CB2"/>
    <w:rsid w:val="00C80685"/>
    <w:rsid w:val="00CA0F53"/>
    <w:rsid w:val="00CB1E69"/>
    <w:rsid w:val="00CF4893"/>
    <w:rsid w:val="00DA7B85"/>
    <w:rsid w:val="00DB2A0A"/>
    <w:rsid w:val="00DB66F8"/>
    <w:rsid w:val="00E12442"/>
    <w:rsid w:val="00E22419"/>
    <w:rsid w:val="00E6026B"/>
    <w:rsid w:val="00EA2D44"/>
    <w:rsid w:val="00EE43B5"/>
    <w:rsid w:val="00EE5F59"/>
    <w:rsid w:val="00F03C9C"/>
    <w:rsid w:val="00F50607"/>
    <w:rsid w:val="00F50BA4"/>
    <w:rsid w:val="00F718C4"/>
    <w:rsid w:val="00F81176"/>
    <w:rsid w:val="00F94835"/>
    <w:rsid w:val="00F97975"/>
    <w:rsid w:val="00FF7E42"/>
    <w:rsid w:val="037676E5"/>
    <w:rsid w:val="038218DD"/>
    <w:rsid w:val="03E71A6B"/>
    <w:rsid w:val="05D709B3"/>
    <w:rsid w:val="063D378D"/>
    <w:rsid w:val="071E2DB6"/>
    <w:rsid w:val="073360BD"/>
    <w:rsid w:val="07A31B7F"/>
    <w:rsid w:val="0A2D6620"/>
    <w:rsid w:val="0AA7129C"/>
    <w:rsid w:val="0C5B233E"/>
    <w:rsid w:val="0DCB34F3"/>
    <w:rsid w:val="0E5D33A0"/>
    <w:rsid w:val="0F931DEF"/>
    <w:rsid w:val="118C2F9A"/>
    <w:rsid w:val="118D3328"/>
    <w:rsid w:val="132077BC"/>
    <w:rsid w:val="13A04ADA"/>
    <w:rsid w:val="150C1E94"/>
    <w:rsid w:val="1553016D"/>
    <w:rsid w:val="176F3141"/>
    <w:rsid w:val="1AA8625E"/>
    <w:rsid w:val="1C251FB0"/>
    <w:rsid w:val="1C4508ED"/>
    <w:rsid w:val="1E566E09"/>
    <w:rsid w:val="20887022"/>
    <w:rsid w:val="23975054"/>
    <w:rsid w:val="28944E1F"/>
    <w:rsid w:val="29FD45DD"/>
    <w:rsid w:val="2A236AF5"/>
    <w:rsid w:val="2D3C33FD"/>
    <w:rsid w:val="2FFD5A30"/>
    <w:rsid w:val="330151F6"/>
    <w:rsid w:val="34D33E29"/>
    <w:rsid w:val="35C51474"/>
    <w:rsid w:val="36A55DE0"/>
    <w:rsid w:val="36D93D46"/>
    <w:rsid w:val="37403D5B"/>
    <w:rsid w:val="3A483652"/>
    <w:rsid w:val="3BEB698B"/>
    <w:rsid w:val="3D6C56BB"/>
    <w:rsid w:val="407056B1"/>
    <w:rsid w:val="42B9333F"/>
    <w:rsid w:val="44BF23F6"/>
    <w:rsid w:val="4504286C"/>
    <w:rsid w:val="47543636"/>
    <w:rsid w:val="485D29BF"/>
    <w:rsid w:val="49B93C25"/>
    <w:rsid w:val="4AA743C5"/>
    <w:rsid w:val="4B7F0168"/>
    <w:rsid w:val="4F42290E"/>
    <w:rsid w:val="53F30FBF"/>
    <w:rsid w:val="5C404F75"/>
    <w:rsid w:val="5CA40764"/>
    <w:rsid w:val="5D092EE3"/>
    <w:rsid w:val="5DC664B8"/>
    <w:rsid w:val="5DE132F2"/>
    <w:rsid w:val="62742588"/>
    <w:rsid w:val="630951DF"/>
    <w:rsid w:val="65D52075"/>
    <w:rsid w:val="667D4DA8"/>
    <w:rsid w:val="6BA20565"/>
    <w:rsid w:val="6C8859AD"/>
    <w:rsid w:val="708B7819"/>
    <w:rsid w:val="71041CF8"/>
    <w:rsid w:val="71713F57"/>
    <w:rsid w:val="74987BA2"/>
    <w:rsid w:val="74DA0D6F"/>
    <w:rsid w:val="75644ADD"/>
    <w:rsid w:val="780E632E"/>
    <w:rsid w:val="794A19D5"/>
    <w:rsid w:val="7E9973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HTML Preformatted"/>
    <w:basedOn w:val="1"/>
    <w:link w:val="16"/>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9">
    <w:name w:val="页眉 Char"/>
    <w:basedOn w:val="8"/>
    <w:link w:val="4"/>
    <w:semiHidden/>
    <w:qFormat/>
    <w:uiPriority w:val="99"/>
    <w:rPr>
      <w:sz w:val="18"/>
      <w:szCs w:val="18"/>
    </w:rPr>
  </w:style>
  <w:style w:type="character" w:customStyle="1" w:styleId="10">
    <w:name w:val="页脚 Char"/>
    <w:basedOn w:val="8"/>
    <w:link w:val="3"/>
    <w:semiHidden/>
    <w:qFormat/>
    <w:uiPriority w:val="99"/>
    <w:rPr>
      <w:sz w:val="18"/>
      <w:szCs w:val="18"/>
    </w:rPr>
  </w:style>
  <w:style w:type="character" w:customStyle="1" w:styleId="11">
    <w:name w:val="批注框文本 Char"/>
    <w:basedOn w:val="8"/>
    <w:link w:val="2"/>
    <w:semiHidden/>
    <w:qFormat/>
    <w:uiPriority w:val="99"/>
    <w:rPr>
      <w:sz w:val="18"/>
      <w:szCs w:val="18"/>
    </w:rPr>
  </w:style>
  <w:style w:type="character" w:customStyle="1" w:styleId="12">
    <w:name w:val="apple-converted-space"/>
    <w:basedOn w:val="8"/>
    <w:qFormat/>
    <w:uiPriority w:val="0"/>
  </w:style>
  <w:style w:type="character" w:customStyle="1" w:styleId="13">
    <w:name w:val="页眉 字符"/>
    <w:qFormat/>
    <w:uiPriority w:val="99"/>
    <w:rPr>
      <w:sz w:val="18"/>
      <w:szCs w:val="18"/>
    </w:rPr>
  </w:style>
  <w:style w:type="paragraph" w:styleId="14">
    <w:name w:val="No Spacing"/>
    <w:link w:val="15"/>
    <w:qFormat/>
    <w:uiPriority w:val="1"/>
    <w:rPr>
      <w:rFonts w:asciiTheme="minorHAnsi" w:hAnsiTheme="minorHAnsi" w:eastAsiaTheme="minorEastAsia" w:cstheme="minorBidi"/>
      <w:kern w:val="0"/>
      <w:sz w:val="22"/>
      <w:szCs w:val="22"/>
      <w:lang w:val="en-US" w:eastAsia="zh-CN" w:bidi="ar-SA"/>
    </w:rPr>
  </w:style>
  <w:style w:type="character" w:customStyle="1" w:styleId="15">
    <w:name w:val="无间隔 Char"/>
    <w:basedOn w:val="8"/>
    <w:link w:val="14"/>
    <w:qFormat/>
    <w:uiPriority w:val="1"/>
    <w:rPr>
      <w:kern w:val="0"/>
      <w:sz w:val="22"/>
    </w:rPr>
  </w:style>
  <w:style w:type="character" w:customStyle="1" w:styleId="16">
    <w:name w:val="HTML 预设格式 Char"/>
    <w:basedOn w:val="8"/>
    <w:link w:val="5"/>
    <w:semiHidden/>
    <w:qFormat/>
    <w:uiPriority w:val="99"/>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1006</Words>
  <Characters>1183</Characters>
  <Lines>4</Lines>
  <Paragraphs>1</Paragraphs>
  <TotalTime>0</TotalTime>
  <ScaleCrop>false</ScaleCrop>
  <LinksUpToDate>false</LinksUpToDate>
  <CharactersWithSpaces>1348</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2020-10-14T11:34:00Z</dcterms:created>
  <dc:creator>JYJ</dc:creator>
  <cp:lastModifiedBy>A通道闸管理系统</cp:lastModifiedBy>
  <cp:lastPrinted>2020-05-09T14:00:00Z</cp:lastPrinted>
  <dcterms:modified xsi:type="dcterms:W3CDTF">2026-05-27T14:00:10Z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2D481027C24B47C2B8EBD1AEDFCCDBB8_13</vt:lpwstr>
  </property>
  <property fmtid="{D5CDD505-2E9C-101B-9397-08002B2CF9AE}" pid="4" name="commondata">
    <vt:lpwstr>eyJoZGlkIjoiMGVmMTY0ZDVjNjNkYjUzN2QxMWNkZmU2MTkyYWM3ODEifQ==</vt:lpwstr>
  </property>
  <property fmtid="{D5CDD505-2E9C-101B-9397-08002B2CF9AE}" pid="5" name="KSOTemplateDocerSaveRecord">
    <vt:lpwstr>eyJoZGlkIjoiNTk4ZWRiOTU2NTcwZTlkYzk1OWYxN2YzOTNlMTM1ODciLCJ1c2VySWQiOiI1MzA1NzM2NTgifQ==</vt:lpwstr>
  </property>
</Properties>
</file>