
<file path=[Content_Types].xml><?xml version="1.0" encoding="utf-8"?>
<Types xmlns="http://schemas.openxmlformats.org/package/2006/content-types">
  <Default Extension="xml" ContentType="application/xml"/>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837D19D">
      <w:pPr>
        <w:rPr>
          <w:rFonts w:hint="eastAsia" w:ascii="微软雅黑" w:hAnsi="微软雅黑" w:eastAsia="微软雅黑"/>
          <w:b/>
          <w:color w:val="FFFFFF"/>
          <w:sz w:val="36"/>
          <w:szCs w:val="36"/>
          <w:lang w:val="en-US" w:eastAsia="zh-CN"/>
        </w:rPr>
      </w:pPr>
      <w:bookmarkStart w:id="0" w:name="_GoBack"/>
      <w:bookmarkEnd w:id="0"/>
      <w:r>
        <w:rPr>
          <w:rFonts w:ascii="Times New Roman" w:hAnsi="微软雅黑" w:eastAsia="微软雅黑"/>
          <w:b/>
          <w:color w:val="FFFFFF"/>
          <w:sz w:val="36"/>
          <w:szCs w:val="36"/>
        </w:rPr>
        <w:drawing>
          <wp:anchor distT="0" distB="0" distL="114300" distR="114300" simplePos="0" relativeHeight="251661312" behindDoc="1" locked="0" layoutInCell="1" allowOverlap="1">
            <wp:simplePos x="0" y="0"/>
            <wp:positionH relativeFrom="column">
              <wp:posOffset>-46990</wp:posOffset>
            </wp:positionH>
            <wp:positionV relativeFrom="paragraph">
              <wp:posOffset>36195</wp:posOffset>
            </wp:positionV>
            <wp:extent cx="2437130" cy="676275"/>
            <wp:effectExtent l="0" t="0" r="1270" b="9525"/>
            <wp:wrapNone/>
            <wp:docPr id="1" name="图片 1" descr="C:/Users/admin/Documents/ScreenShot_2026-05-15_220500_216.pngScreenShot_2026-05-15_220500_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Documents/ScreenShot_2026-05-15_220500_216.pngScreenShot_2026-05-15_220500_216"/>
                    <pic:cNvPicPr>
                      <a:picLocks noChangeAspect="1" noChangeArrowheads="1"/>
                    </pic:cNvPicPr>
                  </pic:nvPicPr>
                  <pic:blipFill>
                    <a:blip r:embed="rId6"/>
                    <a:srcRect t="547" b="547"/>
                    <a:stretch>
                      <a:fillRect/>
                    </a:stretch>
                  </pic:blipFill>
                  <pic:spPr>
                    <a:xfrm>
                      <a:off x="0" y="0"/>
                      <a:ext cx="2437130" cy="676275"/>
                    </a:xfrm>
                    <a:prstGeom prst="rect">
                      <a:avLst/>
                    </a:prstGeom>
                    <a:noFill/>
                    <a:ln>
                      <a:noFill/>
                    </a:ln>
                  </pic:spPr>
                </pic:pic>
              </a:graphicData>
            </a:graphic>
          </wp:anchor>
        </w:drawing>
      </w:r>
      <w:r>
        <w:rPr>
          <w:rFonts w:hint="eastAsia" w:ascii="Times New Roman" w:hAnsi="微软雅黑" w:eastAsia="微软雅黑" w:cs="Times New Roman"/>
          <w:b/>
          <w:color w:val="FFFFFF"/>
          <w:kern w:val="2"/>
          <w:sz w:val="36"/>
          <w:szCs w:val="36"/>
          <w:lang w:val="en-US" w:eastAsia="zh-CN" w:bidi="ar-SA"/>
        </w:rPr>
        <w:t>KMS-G6511</w:t>
      </w:r>
    </w:p>
    <w:p w14:paraId="7FE900D9">
      <w:pPr>
        <w:rPr>
          <w:rFonts w:hint="default" w:ascii="微软雅黑" w:hAnsi="微软雅黑" w:eastAsia="微软雅黑"/>
          <w:color w:val="FFFFFF"/>
          <w:sz w:val="18"/>
          <w:szCs w:val="21"/>
          <w:lang w:val="en-US" w:eastAsia="zh-CN"/>
        </w:rPr>
      </w:pPr>
      <w:r>
        <w:rPr>
          <w:rFonts w:hint="eastAsia" w:ascii="Times New Roman" w:hAnsi="微软雅黑" w:eastAsia="微软雅黑" w:cs="Times New Roman"/>
          <w:color w:val="FFFFFF"/>
          <w:kern w:val="2"/>
          <w:sz w:val="18"/>
          <w:szCs w:val="21"/>
          <w:lang w:val="en-US" w:eastAsia="zh-CN" w:bidi="ar-SA"/>
        </w:rPr>
        <w:t>Single-channel three-roll barrier gate</w:t>
      </w:r>
    </w:p>
    <w:p w14:paraId="3B842ECC">
      <w:pPr>
        <w:pStyle w:val="10"/>
        <w:ind w:firstLine="0" w:firstLineChars="0"/>
        <w:jc w:val="left"/>
        <w:outlineLvl w:val="0"/>
        <w:rPr>
          <w:rFonts w:ascii="Times New Roman" w:hAnsi="Times New Roman"/>
          <w:sz w:val="18"/>
          <w:szCs w:val="18"/>
        </w:rPr>
      </w:pPr>
      <w:r>
        <w:rPr>
          <w:rFonts w:ascii="微软雅黑" w:hAnsi="微软雅黑" w:eastAsia="微软雅黑"/>
          <w:b/>
          <w:color w:val="FFFFFF"/>
          <w:sz w:val="36"/>
          <w:szCs w:val="36"/>
        </w:rPr>
        <w:drawing>
          <wp:anchor distT="0" distB="0" distL="114300" distR="114300" simplePos="0" relativeHeight="251660288" behindDoc="0" locked="0" layoutInCell="1" allowOverlap="1">
            <wp:simplePos x="0" y="0"/>
            <wp:positionH relativeFrom="column">
              <wp:posOffset>3194685</wp:posOffset>
            </wp:positionH>
            <wp:positionV relativeFrom="paragraph">
              <wp:posOffset>20955</wp:posOffset>
            </wp:positionV>
            <wp:extent cx="2907665" cy="4175760"/>
            <wp:effectExtent l="0" t="0" r="0" b="0"/>
            <wp:wrapSquare wrapText="bothSides"/>
            <wp:docPr id="2" name="图片 2" descr="E:/科迈思智能/报价单/KeyShot 5/Renderings/产品图2026/三辊闸/KMS-G6511/KMS-G6511.1122.pngKMS-G6511.1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科迈思智能/报价单/KeyShot 5/Renderings/产品图2026/三辊闸/KMS-G6511/KMS-G6511.1122.pngKMS-G6511.1122"/>
                    <pic:cNvPicPr>
                      <a:picLocks noChangeAspect="1" noChangeArrowheads="1"/>
                    </pic:cNvPicPr>
                  </pic:nvPicPr>
                  <pic:blipFill>
                    <a:blip r:embed="rId7"/>
                    <a:srcRect l="25940" t="12877" r="24825" b="16420"/>
                    <a:stretch>
                      <a:fillRect/>
                    </a:stretch>
                  </pic:blipFill>
                  <pic:spPr>
                    <a:xfrm>
                      <a:off x="0" y="0"/>
                      <a:ext cx="2907665" cy="4175760"/>
                    </a:xfrm>
                    <a:prstGeom prst="rect">
                      <a:avLst/>
                    </a:prstGeom>
                    <a:noFill/>
                    <a:ln>
                      <a:noFill/>
                    </a:ln>
                  </pic:spPr>
                </pic:pic>
              </a:graphicData>
            </a:graphic>
          </wp:anchor>
        </w:drawing>
      </w:r>
      <w:r>
        <mc:AlternateContent>
          <mc:Choice Requires="wps">
            <w:drawing>
              <wp:anchor distT="45720" distB="45720" distL="114300" distR="114300" simplePos="0" relativeHeight="251659264" behindDoc="0" locked="0" layoutInCell="1" allowOverlap="1">
                <wp:simplePos x="0" y="0"/>
                <wp:positionH relativeFrom="column">
                  <wp:posOffset>3461385</wp:posOffset>
                </wp:positionH>
                <wp:positionV relativeFrom="paragraph">
                  <wp:posOffset>145415</wp:posOffset>
                </wp:positionV>
                <wp:extent cx="3140710" cy="2072640"/>
                <wp:effectExtent l="3810" t="2540" r="0" b="127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140710" cy="2072640"/>
                        </a:xfrm>
                        <a:prstGeom prst="rect">
                          <a:avLst/>
                        </a:prstGeom>
                        <a:solidFill>
                          <a:srgbClr val="FFFFFF"/>
                        </a:solidFill>
                        <a:ln>
                          <a:noFill/>
                        </a:ln>
                      </wps:spPr>
                      <wps:txbx>
                        <w:txbxContent>
                          <w:p w14:paraId="03652CEC"/>
                        </w:txbxContent>
                      </wps:txbx>
                      <wps:bodyPr rot="0" vert="horz" wrap="non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文本框 2" o:spid="_x0000_s1026" o:spt="202" type="#_x0000_t202" style="position:absolute;left:0pt;margin-left:272.55pt;margin-top:11.45pt;height:163.2pt;width:247.3pt;mso-wrap-distance-bottom:3.6pt;mso-wrap-distance-left:9pt;mso-wrap-distance-right:9pt;mso-wrap-distance-top:3.6pt;mso-wrap-style:none;z-index:251659264;mso-width-relative:page;mso-height-relative:margin;mso-height-percent:200;" fillcolor="#FFFFFF" filled="t" stroked="f" coordsize="21600,21600" o:gfxdata="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CHlGrdgAAAALAQAADwAAAAAAAAABACAAAAAiAAAAZHJzL2Rvd25yZXYueG1sUEsBAhQAFAAA&#10;AAgAh07iQK884OcoAgAAPQQAAA4AAAAAAAAAAQAgAAAAJwEAAGRycy9lMm9Eb2MueG1sUEsFBgAA&#10;AAAGAAYAWQEAAMEFAAAAAA==&#10;">
                <v:fill on="t" focussize="0,0"/>
                <v:stroke on="f"/>
                <v:imagedata o:title=""/>
                <o:lock v:ext="edit" aspectratio="f"/>
                <v:textbox style="mso-fit-shape-to-text:t;">
                  <w:txbxContent>
                    <w:p w14:paraId="03652CEC"/>
                  </w:txbxContent>
                </v:textbox>
                <w10:wrap type="square"/>
              </v:shape>
            </w:pict>
          </mc:Fallback>
        </mc:AlternateContent>
      </w:r>
    </w:p>
    <w:p w14:paraId="725F4C58">
      <w:pPr>
        <w:ind w:right="460" w:rightChars="219"/>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KMS-G6511 is designed for strictly regulated areas, effectively preventing unauthorized personnel tracking. When individuals pass through the turnstile, access-controlled turnstiles can deny entry to unauthorized persons; if permission is granted, the turnstile automatically releases them. It is widely used for access control at basketball arenas, gyms, tourist attractions, amusement parks, construction sites, factories, residential communities, campuses, and other venues.</w:t>
      </w:r>
    </w:p>
    <w:p w14:paraId="012632AC">
      <w:pPr>
        <w:rPr>
          <w:rFonts w:hint="eastAsia" w:ascii="宋体" w:hAnsi="宋体" w:eastAsia="宋体" w:cs="Arial"/>
          <w:spacing w:val="-7"/>
          <w:sz w:val="18"/>
          <w:szCs w:val="18"/>
          <w:lang w:eastAsia="zh-CN"/>
        </w:rPr>
      </w:pPr>
      <w:r>
        <w:rPr>
          <w:rFonts w:hint="eastAsia" w:ascii="Times New Roman" w:hAnsi="宋体" w:eastAsia="微软雅黑" w:cs="Times New Roman"/>
          <w:kern w:val="2"/>
          <w:sz w:val="18"/>
          <w:szCs w:val="18"/>
          <w:lang w:val="en-US" w:eastAsia="zh-CN" w:bidi="ar-SA"/>
        </w:rPr>
        <w:t xml:space="preserve"> </w:t>
      </w:r>
    </w:p>
    <w:p w14:paraId="4A10A6CD">
      <w:pPr>
        <w:rPr>
          <w:sz w:val="18"/>
          <w:szCs w:val="18"/>
        </w:rPr>
      </w:pPr>
    </w:p>
    <w:p w14:paraId="2D7F9FDD">
      <w:pPr>
        <w:rPr>
          <w:b/>
          <w:sz w:val="24"/>
          <w:shd w:val="pct10" w:color="auto" w:fill="FFFFFF"/>
        </w:rPr>
      </w:pPr>
    </w:p>
    <w:p w14:paraId="470358F6">
      <w:pPr>
        <w:rPr>
          <w:rFonts w:hint="eastAsia" w:ascii="宋体" w:hAnsi="宋体" w:cs="宋体"/>
          <w:b/>
          <w:bCs/>
          <w:sz w:val="24"/>
          <w:szCs w:val="24"/>
          <w:lang w:val="en-US" w:eastAsia="zh-CN"/>
        </w:rPr>
      </w:pPr>
    </w:p>
    <w:p w14:paraId="1D889941">
      <w:pPr>
        <w:rPr>
          <w:rFonts w:hint="eastAsia" w:ascii="宋体" w:hAnsi="宋体" w:cs="宋体"/>
          <w:b/>
          <w:bCs/>
          <w:sz w:val="24"/>
          <w:szCs w:val="24"/>
          <w:lang w:val="en-US" w:eastAsia="zh-CN"/>
        </w:rPr>
      </w:pPr>
    </w:p>
    <w:p w14:paraId="14E49857">
      <w:pPr>
        <w:rPr>
          <w:rFonts w:hint="eastAsia" w:ascii="宋体" w:hAnsi="宋体" w:cs="宋体"/>
          <w:b/>
          <w:bCs/>
          <w:sz w:val="24"/>
          <w:szCs w:val="24"/>
          <w:lang w:val="en-US" w:eastAsia="zh-CN"/>
        </w:rPr>
      </w:pPr>
    </w:p>
    <w:p w14:paraId="252A75C2">
      <w:pPr>
        <w:rPr>
          <w:rFonts w:hint="eastAsia" w:ascii="宋体" w:hAnsi="宋体" w:cs="宋体"/>
          <w:b/>
          <w:bCs/>
          <w:sz w:val="24"/>
          <w:szCs w:val="24"/>
          <w:lang w:val="en-US" w:eastAsia="zh-CN"/>
        </w:rPr>
      </w:pPr>
    </w:p>
    <w:p w14:paraId="1475EDE7">
      <w:pPr>
        <w:rPr>
          <w:rFonts w:hint="eastAsia" w:ascii="宋体" w:hAnsi="宋体" w:cs="宋体"/>
          <w:b/>
          <w:bCs/>
          <w:sz w:val="24"/>
          <w:szCs w:val="24"/>
          <w:lang w:val="en-US" w:eastAsia="zh-CN"/>
        </w:rPr>
      </w:pPr>
    </w:p>
    <w:p w14:paraId="31A0EBC8">
      <w:pPr>
        <w:rPr>
          <w:rFonts w:hint="eastAsia" w:ascii="宋体" w:hAnsi="宋体" w:cs="宋体"/>
          <w:b/>
          <w:bCs/>
          <w:sz w:val="24"/>
          <w:szCs w:val="24"/>
          <w:lang w:val="en-US" w:eastAsia="zh-CN"/>
        </w:rPr>
      </w:pPr>
    </w:p>
    <w:p w14:paraId="790622CF">
      <w:pPr>
        <w:rPr>
          <w:rFonts w:hint="eastAsia" w:ascii="宋体" w:hAnsi="宋体" w:cs="宋体"/>
          <w:b/>
          <w:bCs/>
          <w:sz w:val="24"/>
          <w:szCs w:val="24"/>
          <w:lang w:val="en-US" w:eastAsia="zh-CN"/>
        </w:rPr>
      </w:pPr>
    </w:p>
    <w:p w14:paraId="519A096D">
      <w:pPr>
        <w:rPr>
          <w:rFonts w:hint="eastAsia" w:ascii="宋体" w:hAnsi="宋体" w:cs="宋体"/>
          <w:b/>
          <w:bCs/>
          <w:sz w:val="24"/>
          <w:szCs w:val="24"/>
          <w:lang w:val="en-US" w:eastAsia="zh-CN"/>
        </w:rPr>
      </w:pPr>
    </w:p>
    <w:p w14:paraId="5D89DF53">
      <w:pPr>
        <w:rPr>
          <w:rFonts w:hint="eastAsia" w:ascii="宋体" w:hAnsi="宋体" w:cs="宋体"/>
          <w:b/>
          <w:bCs/>
          <w:sz w:val="24"/>
          <w:szCs w:val="24"/>
          <w:lang w:val="en-US" w:eastAsia="zh-CN"/>
        </w:rPr>
      </w:pPr>
    </w:p>
    <w:p w14:paraId="26143AE7">
      <w:pPr>
        <w:rPr>
          <w:rFonts w:hint="eastAsia" w:ascii="宋体" w:hAnsi="宋体" w:cs="宋体"/>
          <w:b/>
          <w:bCs/>
          <w:sz w:val="24"/>
          <w:szCs w:val="24"/>
          <w:lang w:val="en-US" w:eastAsia="zh-CN"/>
        </w:rPr>
      </w:pPr>
    </w:p>
    <w:p w14:paraId="070B6B65">
      <w:pPr>
        <w:rPr>
          <w:rFonts w:hint="eastAsia" w:ascii="宋体" w:hAnsi="宋体" w:cs="宋体"/>
          <w:b/>
          <w:bCs/>
          <w:sz w:val="24"/>
          <w:szCs w:val="24"/>
          <w:lang w:val="en-US" w:eastAsia="zh-CN"/>
        </w:rPr>
      </w:pPr>
    </w:p>
    <w:p w14:paraId="3158EAB4">
      <w:pPr>
        <w:rPr>
          <w:rFonts w:hint="eastAsia" w:ascii="宋体" w:hAnsi="宋体" w:cs="宋体"/>
          <w:b/>
          <w:bCs/>
          <w:sz w:val="24"/>
          <w:szCs w:val="24"/>
          <w:lang w:val="en-US" w:eastAsia="zh-CN"/>
        </w:rPr>
      </w:pPr>
    </w:p>
    <w:p w14:paraId="7BDD826A">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Order model:</w:t>
      </w:r>
    </w:p>
    <w:p w14:paraId="5F8F8BDA">
      <w:pPr>
        <w:rPr>
          <w:rFonts w:hint="default" w:ascii="宋体" w:hAnsi="宋体" w:cs="宋体"/>
          <w:b/>
          <w:bCs/>
          <w:sz w:val="24"/>
          <w:szCs w:val="24"/>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47"/>
        <w:gridCol w:w="1404"/>
        <w:gridCol w:w="3618"/>
      </w:tblGrid>
      <w:tr w14:paraId="675FE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7C304BF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model</w:t>
            </w:r>
          </w:p>
        </w:tc>
        <w:tc>
          <w:tcPr>
            <w:tcW w:w="1404" w:type="dxa"/>
          </w:tcPr>
          <w:p w14:paraId="31FE0D38">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Material Code</w:t>
            </w:r>
          </w:p>
        </w:tc>
        <w:tc>
          <w:tcPr>
            <w:tcW w:w="3618" w:type="dxa"/>
          </w:tcPr>
          <w:p w14:paraId="796EEE5A">
            <w:pPr>
              <w:jc w:val="left"/>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remarks</w:t>
            </w:r>
          </w:p>
        </w:tc>
      </w:tr>
      <w:tr w14:paraId="43F75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trPr>
        <w:tc>
          <w:tcPr>
            <w:tcW w:w="2547" w:type="dxa"/>
          </w:tcPr>
          <w:p w14:paraId="4D188EE2">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KMS-G6511-120/Pg-Dm55</w:t>
            </w:r>
          </w:p>
        </w:tc>
        <w:tc>
          <w:tcPr>
            <w:tcW w:w="1404" w:type="dxa"/>
          </w:tcPr>
          <w:p w14:paraId="213DDD1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202600493</w:t>
            </w:r>
          </w:p>
        </w:tc>
        <w:tc>
          <w:tcPr>
            <w:tcW w:w="3618" w:type="dxa"/>
          </w:tcPr>
          <w:p w14:paraId="356C0763">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The facial device requires a separate accessory.</w:t>
            </w:r>
          </w:p>
        </w:tc>
      </w:tr>
      <w:tr w14:paraId="7EB8B2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547" w:type="dxa"/>
          </w:tcPr>
          <w:p w14:paraId="5191F2CC">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KMS-G6511-120/M-Dm55-I</w:t>
            </w:r>
          </w:p>
        </w:tc>
        <w:tc>
          <w:tcPr>
            <w:tcW w:w="1404" w:type="dxa"/>
          </w:tcPr>
          <w:p w14:paraId="6F44330E">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202600494</w:t>
            </w:r>
          </w:p>
        </w:tc>
        <w:tc>
          <w:tcPr>
            <w:tcW w:w="3618" w:type="dxa"/>
          </w:tcPr>
          <w:p w14:paraId="2311E277">
            <w:pPr>
              <w:rPr>
                <w:rFonts w:hint="eastAsia" w:ascii="宋体" w:hAnsi="宋体" w:eastAsia="宋体"/>
                <w:sz w:val="18"/>
                <w:szCs w:val="18"/>
                <w:lang w:eastAsia="zh-CN"/>
              </w:rPr>
            </w:pPr>
            <w:r>
              <w:rPr>
                <w:rFonts w:hint="eastAsia" w:ascii="Times New Roman" w:hAnsi="宋体" w:eastAsia="微软雅黑" w:cs="Times New Roman"/>
                <w:kern w:val="2"/>
                <w:sz w:val="18"/>
                <w:szCs w:val="18"/>
                <w:lang w:val="en-US" w:eastAsia="zh-CN" w:bidi="ar-SA"/>
              </w:rPr>
              <w:t>IC card reader with built-in 2602X-AI motherboard and card reader kit</w:t>
            </w:r>
          </w:p>
        </w:tc>
      </w:tr>
    </w:tbl>
    <w:p w14:paraId="5E07DB07">
      <w:pPr>
        <w:rPr>
          <w:rFonts w:hint="eastAsia" w:ascii="宋体" w:hAnsi="宋体" w:cs="宋体"/>
          <w:b/>
          <w:bCs/>
          <w:sz w:val="24"/>
          <w:szCs w:val="24"/>
          <w:lang w:val="en-US" w:eastAsia="zh-CN"/>
        </w:rPr>
      </w:pPr>
    </w:p>
    <w:p w14:paraId="0D87B778">
      <w:pPr>
        <w:rPr>
          <w:rFonts w:hint="eastAsia" w:ascii="宋体" w:hAnsi="宋体" w:cs="宋体"/>
          <w:b/>
          <w:bCs/>
          <w:sz w:val="24"/>
          <w:szCs w:val="24"/>
          <w:lang w:val="en-US" w:eastAsia="zh-CN"/>
        </w:rPr>
      </w:pPr>
    </w:p>
    <w:p w14:paraId="49F0B165">
      <w:pPr>
        <w:rPr>
          <w:rFonts w:hint="eastAsia" w:ascii="宋体" w:hAnsi="宋体" w:cs="宋体"/>
          <w:b/>
          <w:bCs/>
          <w:sz w:val="24"/>
          <w:szCs w:val="24"/>
          <w:lang w:val="en-US" w:eastAsia="zh-CN"/>
        </w:rPr>
      </w:pPr>
    </w:p>
    <w:p w14:paraId="7A420E5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features ：</w:t>
      </w:r>
    </w:p>
    <w:p w14:paraId="1FF4D3CB">
      <w:pPr>
        <w:rPr>
          <w:b/>
          <w:sz w:val="24"/>
          <w:shd w:val="pct10" w:color="auto" w:fill="FFFFFF"/>
        </w:rPr>
      </w:pPr>
    </w:p>
    <w:p w14:paraId="61AF3805">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movement features a unique mechanical structure, with a rational and reliable design that produces low noise, ensures smooth operation, and offers a long service life.</w:t>
      </w:r>
    </w:p>
    <w:p w14:paraId="0B9A566D">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bidirectional passage capability, with the gate rod steering available in both two-way and one-way configurations.</w:t>
      </w:r>
    </w:p>
    <w:p w14:paraId="69497DB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After a power outage, the door unlocks automatically and switches to mechanical mode, allowing personnel to enter and exit freely while meeting fire safety requirements.</w:t>
      </w:r>
    </w:p>
    <w:p w14:paraId="75797B78">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A bidirectional arrow indicator shows the traffic status.</w:t>
      </w:r>
    </w:p>
    <w:p w14:paraId="5B0FF3F9">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features an automatic reset function: once permission to pass through the gate is granted, if the user fails to pass within the specified time, the full-height gate automatically cancels the permission and returns to its initial state.</w:t>
      </w:r>
    </w:p>
    <w:p w14:paraId="69C2A207">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Waterproof, sun-resistant, cold-resistant, and heat-resistant.</w:t>
      </w:r>
    </w:p>
    <w:p w14:paraId="55C24EE4">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It can be expanded into an automated identity recognition system, enabling functions such as access control and attendance management.</w:t>
      </w:r>
    </w:p>
    <w:p w14:paraId="4FD034C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Support memory modes, such as swiping the valid card five times and passing through five people.</w:t>
      </w:r>
    </w:p>
    <w:p w14:paraId="2001A7BA">
      <w:pPr>
        <w:numPr>
          <w:ilvl w:val="0"/>
          <w:numId w:val="2"/>
        </w:numPr>
        <w:ind w:left="420" w:leftChars="0" w:hanging="420" w:firstLineChars="0"/>
        <w:rPr>
          <w:rFonts w:ascii="宋体" w:hAnsi="宋体" w:cs="宋体"/>
          <w:sz w:val="18"/>
          <w:szCs w:val="18"/>
        </w:rPr>
      </w:pPr>
      <w:r>
        <w:rPr>
          <w:rFonts w:hint="eastAsia" w:ascii="Times New Roman" w:hAnsi="宋体" w:eastAsia="微软雅黑" w:cs="宋体"/>
          <w:kern w:val="2"/>
          <w:sz w:val="18"/>
          <w:szCs w:val="18"/>
          <w:lang w:val="en-US" w:eastAsia="zh-CN" w:bidi="ar-SA"/>
        </w:rPr>
        <w:t>The passage delay time can be adjusted via the dial code.</w:t>
      </w:r>
    </w:p>
    <w:p w14:paraId="5A556917">
      <w:pPr>
        <w:pStyle w:val="10"/>
        <w:ind w:firstLine="0" w:firstLineChars="0"/>
        <w:jc w:val="left"/>
        <w:rPr>
          <w:rFonts w:ascii="宋体" w:hAnsi="宋体"/>
          <w:sz w:val="18"/>
          <w:szCs w:val="15"/>
        </w:rPr>
      </w:pPr>
    </w:p>
    <w:p w14:paraId="3D81D17C">
      <w:pPr>
        <w:rPr>
          <w:b/>
          <w:sz w:val="24"/>
          <w:shd w:val="pct10" w:color="auto" w:fill="FFFFFF"/>
        </w:rPr>
      </w:pPr>
      <w:r>
        <w:rPr>
          <w:rFonts w:hint="eastAsia" w:ascii="Times New Roman" w:hAnsi="宋体" w:eastAsia="微软雅黑" w:cs="宋体"/>
          <w:b/>
          <w:bCs/>
          <w:kern w:val="2"/>
          <w:sz w:val="24"/>
          <w:szCs w:val="24"/>
          <w:lang w:val="en-US" w:eastAsia="zh-CN" w:bidi="ar-SA"/>
        </w:rPr>
        <w:t>technical parameter ：</w:t>
      </w:r>
    </w:p>
    <w:tbl>
      <w:tblPr>
        <w:tblStyle w:val="5"/>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61"/>
        <w:gridCol w:w="4922"/>
      </w:tblGrid>
      <w:tr w14:paraId="1C59E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20C72BC">
            <w:pPr>
              <w:widowControl/>
              <w:jc w:val="left"/>
              <w:rPr>
                <w:rFonts w:hint="eastAsia" w:ascii="宋体" w:hAnsi="宋体" w:eastAsia="宋体" w:cs="宋体"/>
                <w:b/>
                <w:bCs/>
                <w:kern w:val="0"/>
                <w:sz w:val="18"/>
                <w:szCs w:val="18"/>
                <w:lang w:eastAsia="zh-CN"/>
              </w:rPr>
            </w:pPr>
            <w:r>
              <w:rPr>
                <w:rFonts w:hint="eastAsia" w:ascii="Times New Roman" w:hAnsi="宋体" w:eastAsia="微软雅黑" w:cs="宋体"/>
                <w:b/>
                <w:bCs/>
                <w:kern w:val="0"/>
                <w:sz w:val="18"/>
                <w:szCs w:val="18"/>
                <w:lang w:val="en-US" w:eastAsia="zh-CN" w:bidi="ar-SA"/>
              </w:rPr>
              <w:t>product model</w:t>
            </w:r>
          </w:p>
        </w:tc>
        <w:tc>
          <w:tcPr>
            <w:tcW w:w="4922" w:type="dxa"/>
            <w:shd w:val="clear" w:color="auto" w:fill="auto"/>
            <w:vAlign w:val="center"/>
          </w:tcPr>
          <w:p w14:paraId="44732614">
            <w:pPr>
              <w:widowControl/>
              <w:jc w:val="left"/>
              <w:rPr>
                <w:rFonts w:hint="default" w:ascii="宋体" w:hAnsi="宋体"/>
                <w:b/>
                <w:kern w:val="0"/>
                <w:sz w:val="18"/>
                <w:szCs w:val="18"/>
                <w:lang w:val="en-US"/>
              </w:rPr>
            </w:pPr>
            <w:r>
              <w:rPr>
                <w:rFonts w:hint="eastAsia" w:ascii="Times New Roman" w:hAnsi="宋体" w:eastAsia="微软雅黑" w:cs="Times New Roman"/>
                <w:kern w:val="2"/>
                <w:sz w:val="18"/>
                <w:szCs w:val="15"/>
                <w:lang w:val="en-US" w:eastAsia="zh-CN" w:bidi="ar-SA"/>
              </w:rPr>
              <w:t>KMS-G6511</w:t>
            </w:r>
          </w:p>
        </w:tc>
      </w:tr>
      <w:tr w14:paraId="36D7C7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C4C9207">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physical interface</w:t>
            </w:r>
          </w:p>
        </w:tc>
        <w:tc>
          <w:tcPr>
            <w:tcW w:w="4922" w:type="dxa"/>
            <w:shd w:val="clear" w:color="auto" w:fill="auto"/>
            <w:vAlign w:val="center"/>
          </w:tcPr>
          <w:p w14:paraId="4C4A354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I/O,RS485</w:t>
            </w:r>
          </w:p>
        </w:tc>
      </w:tr>
      <w:tr w14:paraId="7B76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49FEF93C">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Passage Rate</w:t>
            </w:r>
          </w:p>
        </w:tc>
        <w:tc>
          <w:tcPr>
            <w:tcW w:w="4922" w:type="dxa"/>
            <w:shd w:val="clear" w:color="auto" w:fill="auto"/>
            <w:vAlign w:val="center"/>
          </w:tcPr>
          <w:p w14:paraId="7AD588E8">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30 people per minute; the actual throughput rate is influenced by personnel availability and traffic patterns.</w:t>
            </w:r>
          </w:p>
        </w:tc>
      </w:tr>
      <w:tr w14:paraId="1EEC74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6365E6B5">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Channel width</w:t>
            </w:r>
          </w:p>
        </w:tc>
        <w:tc>
          <w:tcPr>
            <w:tcW w:w="4922" w:type="dxa"/>
            <w:shd w:val="clear" w:color="auto" w:fill="auto"/>
            <w:vAlign w:val="center"/>
          </w:tcPr>
          <w:p w14:paraId="56F09CDD">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550-600mm</w:t>
            </w:r>
          </w:p>
        </w:tc>
      </w:tr>
      <w:tr w14:paraId="21B83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EF5630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Single rotation angle</w:t>
            </w:r>
          </w:p>
        </w:tc>
        <w:tc>
          <w:tcPr>
            <w:tcW w:w="4922" w:type="dxa"/>
            <w:shd w:val="clear" w:color="auto" w:fill="auto"/>
            <w:vAlign w:val="center"/>
          </w:tcPr>
          <w:p w14:paraId="28DC71C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120°</w:t>
            </w:r>
          </w:p>
        </w:tc>
      </w:tr>
      <w:tr w14:paraId="6976F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399A63A">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Door panel material</w:t>
            </w:r>
          </w:p>
        </w:tc>
        <w:tc>
          <w:tcPr>
            <w:tcW w:w="4922" w:type="dxa"/>
            <w:shd w:val="clear" w:color="auto" w:fill="auto"/>
            <w:vAlign w:val="center"/>
          </w:tcPr>
          <w:p w14:paraId="531F4F85">
            <w:pPr>
              <w:widowControl/>
              <w:jc w:val="left"/>
              <w:rPr>
                <w:rFonts w:hint="default" w:ascii="宋体" w:hAnsi="宋体" w:eastAsia="宋体"/>
                <w:kern w:val="0"/>
                <w:sz w:val="18"/>
                <w:szCs w:val="18"/>
                <w:highlight w:val="yellow"/>
                <w:lang w:val="en-US" w:eastAsia="zh-CN"/>
              </w:rPr>
            </w:pPr>
            <w:r>
              <w:rPr>
                <w:rFonts w:hint="eastAsia" w:ascii="Times New Roman" w:hAnsi="宋体" w:eastAsia="微软雅黑" w:cs="Times New Roman"/>
                <w:kern w:val="0"/>
                <w:sz w:val="18"/>
                <w:szCs w:val="18"/>
                <w:lang w:val="en-US" w:eastAsia="zh-CN" w:bidi="ar-SA"/>
              </w:rPr>
              <w:t>304 stainless steel / 201 stainless steel, painted</w:t>
            </w:r>
          </w:p>
        </w:tc>
      </w:tr>
      <w:tr w14:paraId="6BCEC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0038AE9F">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Channel Box Body</w:t>
            </w:r>
          </w:p>
        </w:tc>
        <w:tc>
          <w:tcPr>
            <w:tcW w:w="4922" w:type="dxa"/>
            <w:shd w:val="clear" w:color="auto" w:fill="auto"/>
            <w:vAlign w:val="center"/>
          </w:tcPr>
          <w:p w14:paraId="59897F41">
            <w:pPr>
              <w:widowControl/>
              <w:jc w:val="left"/>
              <w:rPr>
                <w:rFonts w:hint="eastAsia" w:ascii="宋体" w:hAnsi="宋体" w:eastAsia="宋体"/>
                <w:kern w:val="0"/>
                <w:sz w:val="18"/>
                <w:szCs w:val="18"/>
                <w:highlight w:val="yellow"/>
                <w:lang w:eastAsia="zh-CN"/>
              </w:rPr>
            </w:pPr>
            <w:r>
              <w:rPr>
                <w:rFonts w:hint="eastAsia" w:ascii="Times New Roman" w:hAnsi="宋体" w:eastAsia="微软雅黑" w:cs="Times New Roman"/>
                <w:kern w:val="0"/>
                <w:sz w:val="18"/>
                <w:szCs w:val="18"/>
                <w:lang w:val="en-US" w:eastAsia="zh-CN" w:bidi="ar-SA"/>
              </w:rPr>
              <w:t>SUS304 stainless steel/stainless steel 201 painted; wall thickness: 1.2 mm; 38mm steel pipe</w:t>
            </w:r>
          </w:p>
        </w:tc>
      </w:tr>
      <w:tr w14:paraId="4130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27A6C89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size</w:t>
            </w:r>
          </w:p>
        </w:tc>
        <w:tc>
          <w:tcPr>
            <w:tcW w:w="4922" w:type="dxa"/>
            <w:shd w:val="clear" w:color="auto" w:fill="auto"/>
            <w:vAlign w:val="center"/>
          </w:tcPr>
          <w:p w14:paraId="3AA4076D">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420mm*320*1700mm</w:t>
            </w:r>
          </w:p>
        </w:tc>
      </w:tr>
      <w:tr w14:paraId="51DDF0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2C4D000">
            <w:pPr>
              <w:widowControl/>
              <w:jc w:val="left"/>
              <w:rPr>
                <w:rFonts w:hint="eastAsia" w:ascii="宋体" w:hAnsi="宋体" w:eastAsia="宋体"/>
                <w:b/>
                <w:kern w:val="0"/>
                <w:sz w:val="18"/>
                <w:szCs w:val="18"/>
                <w:lang w:eastAsia="zh-CN"/>
              </w:rPr>
            </w:pPr>
            <w:r>
              <w:rPr>
                <w:rFonts w:hint="eastAsia" w:ascii="Times New Roman" w:hAnsi="宋体" w:eastAsia="微软雅黑" w:cs="Times New Roman"/>
                <w:b/>
                <w:kern w:val="0"/>
                <w:sz w:val="18"/>
                <w:szCs w:val="18"/>
                <w:lang w:val="en-US" w:eastAsia="zh-CN" w:bidi="ar-SA"/>
              </w:rPr>
              <w:t>input voltage</w:t>
            </w:r>
          </w:p>
        </w:tc>
        <w:tc>
          <w:tcPr>
            <w:tcW w:w="4922" w:type="dxa"/>
            <w:shd w:val="clear" w:color="auto" w:fill="auto"/>
            <w:vAlign w:val="center"/>
          </w:tcPr>
          <w:p w14:paraId="4E8544EA">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220V±10%</w:t>
            </w:r>
          </w:p>
        </w:tc>
      </w:tr>
      <w:tr w14:paraId="24517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7E7EA719">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temperature</w:t>
            </w:r>
          </w:p>
        </w:tc>
        <w:tc>
          <w:tcPr>
            <w:tcW w:w="4922" w:type="dxa"/>
            <w:shd w:val="clear" w:color="auto" w:fill="auto"/>
            <w:vAlign w:val="center"/>
          </w:tcPr>
          <w:p w14:paraId="3F9939F3">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-20℃~65℃</w:t>
            </w:r>
          </w:p>
        </w:tc>
      </w:tr>
      <w:tr w14:paraId="25460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AD00318">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Working humidity</w:t>
            </w:r>
          </w:p>
        </w:tc>
        <w:tc>
          <w:tcPr>
            <w:tcW w:w="4922" w:type="dxa"/>
            <w:shd w:val="clear" w:color="auto" w:fill="auto"/>
            <w:vAlign w:val="center"/>
          </w:tcPr>
          <w:p w14:paraId="453BCB90">
            <w:pPr>
              <w:widowControl/>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10%-95% (in the absence of condensed water droplets)</w:t>
            </w:r>
          </w:p>
        </w:tc>
      </w:tr>
      <w:tr w14:paraId="780EB4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5250ABB">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work environment</w:t>
            </w:r>
          </w:p>
        </w:tc>
        <w:tc>
          <w:tcPr>
            <w:tcW w:w="4922" w:type="dxa"/>
            <w:shd w:val="clear" w:color="auto" w:fill="auto"/>
            <w:vAlign w:val="center"/>
          </w:tcPr>
          <w:p w14:paraId="7C657AA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Indoor and outdoor</w:t>
            </w:r>
          </w:p>
        </w:tc>
      </w:tr>
      <w:tr w14:paraId="5CE25E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 w:hRule="atLeast"/>
          <w:jc w:val="center"/>
        </w:trPr>
        <w:tc>
          <w:tcPr>
            <w:tcW w:w="2161" w:type="dxa"/>
            <w:shd w:val="clear" w:color="auto" w:fill="auto"/>
            <w:vAlign w:val="center"/>
          </w:tcPr>
          <w:p w14:paraId="19AE2F1D">
            <w:pPr>
              <w:widowControl/>
              <w:jc w:val="left"/>
              <w:rPr>
                <w:rFonts w:hint="eastAsia" w:ascii="宋体" w:hAnsi="宋体" w:eastAsia="宋体" w:cs="宋体"/>
                <w:b/>
                <w:kern w:val="0"/>
                <w:sz w:val="18"/>
                <w:szCs w:val="18"/>
                <w:lang w:eastAsia="zh-CN"/>
              </w:rPr>
            </w:pPr>
            <w:r>
              <w:rPr>
                <w:rFonts w:hint="eastAsia" w:ascii="Times New Roman" w:hAnsi="宋体" w:eastAsia="微软雅黑" w:cs="宋体"/>
                <w:b/>
                <w:kern w:val="0"/>
                <w:sz w:val="18"/>
                <w:szCs w:val="18"/>
                <w:lang w:val="en-US" w:eastAsia="zh-CN" w:bidi="ar-SA"/>
              </w:rPr>
              <w:t>plant capacity</w:t>
            </w:r>
          </w:p>
        </w:tc>
        <w:tc>
          <w:tcPr>
            <w:tcW w:w="4922" w:type="dxa"/>
            <w:shd w:val="clear" w:color="auto" w:fill="auto"/>
            <w:vAlign w:val="center"/>
          </w:tcPr>
          <w:p w14:paraId="576AF726">
            <w:pPr>
              <w:jc w:val="left"/>
              <w:rPr>
                <w:rFonts w:hint="eastAsia" w:ascii="宋体" w:hAnsi="宋体" w:eastAsia="宋体"/>
                <w:kern w:val="0"/>
                <w:sz w:val="18"/>
                <w:szCs w:val="18"/>
                <w:lang w:eastAsia="zh-CN"/>
              </w:rPr>
            </w:pPr>
            <w:r>
              <w:rPr>
                <w:rFonts w:hint="eastAsia" w:ascii="Times New Roman" w:hAnsi="宋体" w:eastAsia="微软雅黑" w:cs="Times New Roman"/>
                <w:kern w:val="0"/>
                <w:sz w:val="18"/>
                <w:szCs w:val="18"/>
                <w:lang w:val="en-US" w:eastAsia="zh-CN" w:bidi="ar-SA"/>
              </w:rPr>
              <w:t>50W</w:t>
            </w:r>
          </w:p>
        </w:tc>
      </w:tr>
    </w:tbl>
    <w:p w14:paraId="57BC9B26">
      <w:pPr>
        <w:pStyle w:val="12"/>
        <w:numPr>
          <w:ilvl w:val="0"/>
          <w:numId w:val="0"/>
        </w:numPr>
      </w:pPr>
    </w:p>
    <w:p w14:paraId="71682DFB">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product size ：</w:t>
      </w:r>
    </w:p>
    <w:p w14:paraId="0C90BA4F">
      <w:pPr>
        <w:ind w:firstLine="105" w:firstLineChars="50"/>
        <w:rPr>
          <w:b/>
          <w:sz w:val="24"/>
          <w:shd w:val="pct10" w:color="auto" w:fill="FFFFFF"/>
        </w:rPr>
      </w:pPr>
      <w:r>
        <w:drawing>
          <wp:inline distT="0" distB="0" distL="114300" distR="114300">
            <wp:extent cx="3766820" cy="5320030"/>
            <wp:effectExtent l="0" t="0" r="5080" b="1270"/>
            <wp:docPr id="7" name="图片 1" descr="E:/科迈思智能/报价单/KeyShot 5/Renderings/产品图2026/三辊闸/KMS-G6511/KMS-G6511.pngKMS-G6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1" descr="E:/科迈思智能/报价单/KeyShot 5/Renderings/产品图2026/三辊闸/KMS-G6511/KMS-G6511.pngKMS-G6511"/>
                    <pic:cNvPicPr>
                      <a:picLocks noChangeAspect="1"/>
                    </pic:cNvPicPr>
                  </pic:nvPicPr>
                  <pic:blipFill>
                    <a:blip r:embed="rId8"/>
                    <a:srcRect l="11622" t="1927" r="17644"/>
                    <a:stretch>
                      <a:fillRect/>
                    </a:stretch>
                  </pic:blipFill>
                  <pic:spPr>
                    <a:xfrm>
                      <a:off x="0" y="0"/>
                      <a:ext cx="3766820" cy="5320030"/>
                    </a:xfrm>
                    <a:prstGeom prst="rect">
                      <a:avLst/>
                    </a:prstGeom>
                    <a:noFill/>
                    <a:ln>
                      <a:noFill/>
                    </a:ln>
                  </pic:spPr>
                </pic:pic>
              </a:graphicData>
            </a:graphic>
          </wp:inline>
        </w:drawing>
      </w:r>
    </w:p>
    <w:p w14:paraId="2B70FB8D">
      <w:pPr>
        <w:pStyle w:val="12"/>
        <w:numPr>
          <w:ilvl w:val="0"/>
          <w:numId w:val="0"/>
        </w:numPr>
      </w:pPr>
    </w:p>
    <w:p w14:paraId="7CA9C967">
      <w:pPr>
        <w:rPr>
          <w:rFonts w:hint="eastAsia" w:ascii="宋体" w:hAnsi="宋体" w:cs="宋体"/>
          <w:b/>
          <w:bCs/>
          <w:sz w:val="24"/>
          <w:szCs w:val="24"/>
          <w:lang w:val="en-US" w:eastAsia="zh-CN"/>
        </w:rPr>
      </w:pPr>
    </w:p>
    <w:p w14:paraId="3B486126">
      <w:pPr>
        <w:rPr>
          <w:rFonts w:hint="eastAsia" w:ascii="宋体" w:hAnsi="宋体" w:cs="宋体"/>
          <w:b/>
          <w:bCs/>
          <w:sz w:val="24"/>
          <w:szCs w:val="24"/>
          <w:lang w:val="en-US" w:eastAsia="zh-CN"/>
        </w:rPr>
      </w:pPr>
      <w:r>
        <w:rPr>
          <w:rFonts w:hint="eastAsia" w:ascii="Times New Roman" w:hAnsi="宋体" w:eastAsia="微软雅黑" w:cs="宋体"/>
          <w:b/>
          <w:bCs/>
          <w:kern w:val="2"/>
          <w:sz w:val="24"/>
          <w:szCs w:val="24"/>
          <w:lang w:val="en-US" w:eastAsia="zh-CN" w:bidi="ar-SA"/>
        </w:rPr>
        <w:t>matters need attention ：</w:t>
      </w:r>
    </w:p>
    <w:p w14:paraId="1DE4BF46">
      <w:pPr>
        <w:ind w:firstLine="120" w:firstLineChars="50"/>
        <w:rPr>
          <w:b/>
          <w:sz w:val="24"/>
          <w:shd w:val="pct10" w:color="auto" w:fill="FFFFFF"/>
        </w:rPr>
      </w:pPr>
    </w:p>
    <w:p w14:paraId="1130E257">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One of the primary components of pedestrian walkway products is stainless steel, which exhibits excellent corrosion resistance (ability to resist atmospheric oxidation) and resistance to corrosion in acidic, alkaline, or saline environments. However, its corrosion resistance varies depending on factors such as its chemical composition and operating conditions. To maintain the aesthetic appearance of stainless steel and extend its service life, regular maintenance is essential.</w:t>
      </w:r>
    </w:p>
    <w:p w14:paraId="7660728A">
      <w:pPr>
        <w:pStyle w:val="10"/>
        <w:ind w:firstLine="360"/>
        <w:jc w:val="left"/>
        <w:rPr>
          <w:rFonts w:hint="eastAsia" w:ascii="宋体" w:hAnsi="宋体" w:eastAsia="宋体"/>
          <w:sz w:val="18"/>
          <w:szCs w:val="15"/>
          <w:lang w:eastAsia="zh-CN"/>
        </w:rPr>
      </w:pPr>
      <w:r>
        <w:rPr>
          <w:rFonts w:hint="eastAsia" w:ascii="Times New Roman" w:hAnsi="宋体" w:eastAsia="微软雅黑" w:cs="Times New Roman"/>
          <w:kern w:val="2"/>
          <w:sz w:val="18"/>
          <w:szCs w:val="15"/>
          <w:lang w:val="en-US" w:eastAsia="zh-CN" w:bidi="ar-SA"/>
        </w:rPr>
        <w:t>The maintenance precautions are as follows:</w:t>
      </w:r>
    </w:p>
    <w:p w14:paraId="25B6929E">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Different specifications of stainless steel should be selected depending on the operating environment. In general conditions, 304 stainless steel is suitable; for coastal areas or chemical plants, 316 stainless steel is recommended.</w:t>
      </w:r>
    </w:p>
    <w:p w14:paraId="58DA50A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Keep the product surface clean and dry.</w:t>
      </w:r>
    </w:p>
    <w:p w14:paraId="07A834BF">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contaminants appear on the product surface, they can be cleaned using non-woven fabric and alcohol.</w:t>
      </w:r>
    </w:p>
    <w:p w14:paraId="1A28318D">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When rust spots appear on the product surface, use a cleaning cloth (never employ a wire scrub ball) to wipe back and forth along the grain lines of the rust until complete removal is achieved. Subsequently, apply a non-woven cloth and stainless steel maintenance agent for a thorough final clean.</w:t>
      </w:r>
    </w:p>
    <w:p w14:paraId="4D2D161C">
      <w:pPr>
        <w:pStyle w:val="10"/>
        <w:numPr>
          <w:ilvl w:val="0"/>
          <w:numId w:val="3"/>
        </w:numPr>
        <w:ind w:left="420" w:leftChars="0" w:hanging="420" w:firstLineChars="0"/>
        <w:jc w:val="left"/>
        <w:rPr>
          <w:rFonts w:ascii="宋体" w:hAnsi="宋体"/>
          <w:sz w:val="18"/>
          <w:szCs w:val="15"/>
        </w:rPr>
      </w:pPr>
      <w:r>
        <w:rPr>
          <w:rFonts w:hint="eastAsia" w:ascii="Times New Roman" w:hAnsi="宋体" w:eastAsia="微软雅黑" w:cs="Times New Roman"/>
          <w:kern w:val="2"/>
          <w:sz w:val="18"/>
          <w:szCs w:val="15"/>
          <w:lang w:val="en-US" w:eastAsia="zh-CN" w:bidi="ar-SA"/>
        </w:rPr>
        <w:t>The entire turnstile should be regularly maintained by wiping with non-woven fabric and stainless steel cleaning agent. Under normal circumstances, maintenance is recommended once per month; in harsh environments (e.g., coastal areas or chemical plants), weekly maintenance is advised.</w:t>
      </w:r>
    </w:p>
    <w:sectPr>
      <w:headerReference r:id="rId3" w:type="default"/>
      <w:footerReference r:id="rId4" w:type="default"/>
      <w:pgSz w:w="11906" w:h="16838"/>
      <w:pgMar w:top="1340" w:right="1134" w:bottom="1134" w:left="1134" w:header="851" w:footer="1176"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细黑">
    <w:panose1 w:val="02010600040101010101"/>
    <w:charset w:val="86"/>
    <w:family w:val="auto"/>
    <w:pitch w:val="default"/>
    <w:sig w:usb0="00000287" w:usb1="080F0000" w:usb2="00000000" w:usb3="00000000" w:csb0="0004009F" w:csb1="DFD70000"/>
  </w:font>
  <w:font w:name="微软雅黑">
    <w:panose1 w:val="020B0503020204020204"/>
    <w:charset w:val="86"/>
    <w:family w:val="swiss"/>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18DA54">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For more contact information and product details, please visit the official website of KMSZN: https://www.kmszn.cn/</w:t>
    </w:r>
  </w:p>
  <w:p w14:paraId="00BE2D43">
    <w:pPr>
      <w:pStyle w:val="3"/>
      <w:rPr>
        <w:rFonts w:hint="eastAsia" w:eastAsia="宋体"/>
        <w:lang w:eastAsia="zh-CN"/>
      </w:rPr>
    </w:pPr>
    <w:r>
      <w:rPr>
        <w:rFonts w:hint="eastAsia" w:ascii="Times New Roman" w:hAnsi="Times New Roman" w:eastAsia="微软雅黑" w:cs="Times New Roman"/>
        <w:kern w:val="2"/>
        <w:sz w:val="18"/>
        <w:szCs w:val="18"/>
        <w:lang w:val="en-US" w:eastAsia="zh-CN" w:bidi="ar-SA"/>
      </w:rPr>
      <w:t>Due to continuous product updates, any changes to product information will not be notified separately. Shenzhen Kemaisi Intelligent Equipment Co., Ltd.</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CAAB60">
    <w:pPr>
      <w:pStyle w:val="4"/>
      <w:jc w:val="right"/>
      <w:rPr>
        <w:rFonts w:hint="eastAsia" w:eastAsia="宋体"/>
        <w:lang w:eastAsia="zh-CN"/>
      </w:rPr>
    </w:pPr>
    <w:r>
      <w:rPr>
        <w:rFonts w:hint="eastAsia" w:eastAsia="宋体"/>
        <w:lang w:eastAsia="zh-CN"/>
      </w:rPr>
      <w:drawing>
        <wp:inline distT="0" distB="0" distL="114300" distR="114300">
          <wp:extent cx="1239520" cy="325120"/>
          <wp:effectExtent l="0" t="0" r="5080" b="4445"/>
          <wp:docPr id="6" name="图片 6"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KEMSI2"/>
                  <pic:cNvPicPr>
                    <a:picLocks noChangeAspect="1"/>
                  </pic:cNvPicPr>
                </pic:nvPicPr>
                <pic:blipFill>
                  <a:blip r:embed="rId1"/>
                  <a:stretch>
                    <a:fillRect/>
                  </a:stretch>
                </pic:blipFill>
                <pic:spPr>
                  <a:xfrm>
                    <a:off x="0" y="0"/>
                    <a:ext cx="1239520" cy="325120"/>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5"/>
    <w:multiLevelType w:val="multilevel"/>
    <w:tmpl w:val="00000015"/>
    <w:lvl w:ilvl="0" w:tentative="0">
      <w:start w:val="1"/>
      <w:numFmt w:val="bullet"/>
      <w:pStyle w:val="12"/>
      <w:lvlText w:val=""/>
      <w:lvlJc w:val="left"/>
      <w:pPr>
        <w:ind w:left="360" w:hanging="360"/>
      </w:pPr>
      <w:rPr>
        <w:rFonts w:hint="default" w:ascii="Wingdings" w:hAnsi="Wingdings"/>
        <w:b w:val="0"/>
        <w:bCs w:val="0"/>
        <w:i w:val="0"/>
        <w:iCs w:val="0"/>
        <w:caps w:val="0"/>
        <w:strike w:val="0"/>
        <w:dstrike w:val="0"/>
        <w:vanish w:val="0"/>
        <w:color w:val="000000"/>
        <w:spacing w:val="0"/>
        <w:w w:val="100"/>
        <w:position w:val="1"/>
        <w:sz w:val="24"/>
        <w:szCs w:val="18"/>
        <w:vertAlign w:val="baseline"/>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1A7931B7"/>
    <w:multiLevelType w:val="multilevel"/>
    <w:tmpl w:val="1A7931B7"/>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1C2BEEC"/>
    <w:multiLevelType w:val="multilevel"/>
    <w:tmpl w:val="51C2BEEC"/>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4C13"/>
    <w:rsid w:val="00015D4E"/>
    <w:rsid w:val="00051B88"/>
    <w:rsid w:val="000C178F"/>
    <w:rsid w:val="000D35DD"/>
    <w:rsid w:val="00165EAC"/>
    <w:rsid w:val="001706D0"/>
    <w:rsid w:val="001D0A40"/>
    <w:rsid w:val="00285FC8"/>
    <w:rsid w:val="002F3F67"/>
    <w:rsid w:val="0031516A"/>
    <w:rsid w:val="003A1AC4"/>
    <w:rsid w:val="003F180B"/>
    <w:rsid w:val="00410C00"/>
    <w:rsid w:val="00423252"/>
    <w:rsid w:val="00443E76"/>
    <w:rsid w:val="00470EEE"/>
    <w:rsid w:val="004E70E2"/>
    <w:rsid w:val="005F6B7E"/>
    <w:rsid w:val="006C12D2"/>
    <w:rsid w:val="007903AF"/>
    <w:rsid w:val="007A35C5"/>
    <w:rsid w:val="00810E49"/>
    <w:rsid w:val="0082414E"/>
    <w:rsid w:val="00854995"/>
    <w:rsid w:val="008A794F"/>
    <w:rsid w:val="008E36FE"/>
    <w:rsid w:val="009010FB"/>
    <w:rsid w:val="009036AA"/>
    <w:rsid w:val="00933A64"/>
    <w:rsid w:val="0099723F"/>
    <w:rsid w:val="009E2F35"/>
    <w:rsid w:val="00A2423A"/>
    <w:rsid w:val="00A331B5"/>
    <w:rsid w:val="00A55D67"/>
    <w:rsid w:val="00AC2B9C"/>
    <w:rsid w:val="00AC5348"/>
    <w:rsid w:val="00B17A72"/>
    <w:rsid w:val="00B43B53"/>
    <w:rsid w:val="00B84274"/>
    <w:rsid w:val="00BB704C"/>
    <w:rsid w:val="00C02305"/>
    <w:rsid w:val="00CD5C39"/>
    <w:rsid w:val="00CF1CEB"/>
    <w:rsid w:val="00D341C4"/>
    <w:rsid w:val="00D4583B"/>
    <w:rsid w:val="00D476A9"/>
    <w:rsid w:val="00DA00B0"/>
    <w:rsid w:val="00DA4F5C"/>
    <w:rsid w:val="00DA586E"/>
    <w:rsid w:val="00E14C13"/>
    <w:rsid w:val="00E8206B"/>
    <w:rsid w:val="00E953E6"/>
    <w:rsid w:val="00EA6819"/>
    <w:rsid w:val="00F10E4B"/>
    <w:rsid w:val="00F84847"/>
    <w:rsid w:val="01E87AB2"/>
    <w:rsid w:val="08C01BD2"/>
    <w:rsid w:val="099F7A3A"/>
    <w:rsid w:val="0AAA48E8"/>
    <w:rsid w:val="0AE20526"/>
    <w:rsid w:val="0AEA2F37"/>
    <w:rsid w:val="0B6A3464"/>
    <w:rsid w:val="0B937689"/>
    <w:rsid w:val="0BE9382F"/>
    <w:rsid w:val="0D1B1ACD"/>
    <w:rsid w:val="108300B5"/>
    <w:rsid w:val="108B389E"/>
    <w:rsid w:val="11DD3F74"/>
    <w:rsid w:val="18324C3F"/>
    <w:rsid w:val="19393A07"/>
    <w:rsid w:val="1D81460A"/>
    <w:rsid w:val="1F486752"/>
    <w:rsid w:val="1F861028"/>
    <w:rsid w:val="210B2CE8"/>
    <w:rsid w:val="21BC6F83"/>
    <w:rsid w:val="22947F00"/>
    <w:rsid w:val="23AB3753"/>
    <w:rsid w:val="279F537D"/>
    <w:rsid w:val="2E6958EF"/>
    <w:rsid w:val="2FE654EF"/>
    <w:rsid w:val="318B1C70"/>
    <w:rsid w:val="32B545C0"/>
    <w:rsid w:val="35AA386B"/>
    <w:rsid w:val="394C5D3A"/>
    <w:rsid w:val="3A2F07E2"/>
    <w:rsid w:val="3A3E409C"/>
    <w:rsid w:val="3F253F62"/>
    <w:rsid w:val="3F9F3D14"/>
    <w:rsid w:val="40784565"/>
    <w:rsid w:val="408D1DBF"/>
    <w:rsid w:val="414F70AD"/>
    <w:rsid w:val="41932425"/>
    <w:rsid w:val="41B415CD"/>
    <w:rsid w:val="438A6A89"/>
    <w:rsid w:val="449000D0"/>
    <w:rsid w:val="4768030F"/>
    <w:rsid w:val="4968786D"/>
    <w:rsid w:val="4A2D7D16"/>
    <w:rsid w:val="4EA74993"/>
    <w:rsid w:val="53A92F5C"/>
    <w:rsid w:val="543E38D9"/>
    <w:rsid w:val="56875D97"/>
    <w:rsid w:val="5908689F"/>
    <w:rsid w:val="5A3F0E0C"/>
    <w:rsid w:val="5A6663BD"/>
    <w:rsid w:val="5C235F5B"/>
    <w:rsid w:val="5D9D1696"/>
    <w:rsid w:val="5DCB6C20"/>
    <w:rsid w:val="5F7C63E9"/>
    <w:rsid w:val="635A009E"/>
    <w:rsid w:val="6760172C"/>
    <w:rsid w:val="6808604B"/>
    <w:rsid w:val="680D5946"/>
    <w:rsid w:val="6B1B42E7"/>
    <w:rsid w:val="6B94466F"/>
    <w:rsid w:val="6D401DE3"/>
    <w:rsid w:val="6F383814"/>
    <w:rsid w:val="705067E1"/>
    <w:rsid w:val="732D4BB8"/>
    <w:rsid w:val="759058D2"/>
    <w:rsid w:val="77DE4604"/>
    <w:rsid w:val="783E61D3"/>
    <w:rsid w:val="7C507B69"/>
    <w:rsid w:val="7D816E35"/>
    <w:rsid w:val="7FF62F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1"/>
      <w:szCs w:val="21"/>
      <w:lang w:val="en-US" w:eastAsia="en-US" w:bidi="ar-SA"/>
    </w:rPr>
  </w:style>
  <w:style w:type="paragraph" w:styleId="3">
    <w:name w:val="footer"/>
    <w:basedOn w:val="1"/>
    <w:link w:val="9"/>
    <w:unhideWhenUsed/>
    <w:qFormat/>
    <w:uiPriority w:val="0"/>
    <w:pPr>
      <w:tabs>
        <w:tab w:val="center" w:pos="4153"/>
        <w:tab w:val="right" w:pos="8306"/>
      </w:tabs>
      <w:snapToGrid w:val="0"/>
      <w:jc w:val="left"/>
    </w:pPr>
    <w:rPr>
      <w:sz w:val="18"/>
      <w:szCs w:val="18"/>
    </w:rPr>
  </w:style>
  <w:style w:type="paragraph" w:styleId="4">
    <w:name w:val="header"/>
    <w:basedOn w:val="1"/>
    <w:link w:val="8"/>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4"/>
    <w:qFormat/>
    <w:uiPriority w:val="99"/>
    <w:rPr>
      <w:sz w:val="18"/>
      <w:szCs w:val="18"/>
    </w:rPr>
  </w:style>
  <w:style w:type="character" w:customStyle="1" w:styleId="9">
    <w:name w:val="页脚 字符"/>
    <w:basedOn w:val="7"/>
    <w:link w:val="3"/>
    <w:qFormat/>
    <w:uiPriority w:val="99"/>
    <w:rPr>
      <w:sz w:val="18"/>
      <w:szCs w:val="18"/>
    </w:rPr>
  </w:style>
  <w:style w:type="paragraph" w:styleId="10">
    <w:name w:val="List Paragraph"/>
    <w:basedOn w:val="1"/>
    <w:qFormat/>
    <w:uiPriority w:val="34"/>
    <w:pPr>
      <w:ind w:firstLine="420" w:firstLineChars="200"/>
    </w:pPr>
    <w:rPr>
      <w:rFonts w:ascii="Calibri" w:hAnsi="Calibri"/>
      <w:szCs w:val="22"/>
    </w:rPr>
  </w:style>
  <w:style w:type="character" w:customStyle="1" w:styleId="11">
    <w:name w:val="Item List 字符"/>
    <w:link w:val="12"/>
    <w:qFormat/>
    <w:uiPriority w:val="0"/>
    <w:rPr>
      <w:rFonts w:ascii="Calibri" w:hAnsi="Calibri" w:eastAsia="华文细黑" w:cs="Arial"/>
      <w:sz w:val="24"/>
      <w:szCs w:val="21"/>
    </w:rPr>
  </w:style>
  <w:style w:type="paragraph" w:customStyle="1" w:styleId="12">
    <w:name w:val="Item List"/>
    <w:link w:val="11"/>
    <w:qFormat/>
    <w:uiPriority w:val="0"/>
    <w:pPr>
      <w:numPr>
        <w:ilvl w:val="0"/>
        <w:numId w:val="1"/>
      </w:numPr>
      <w:adjustRightInd w:val="0"/>
      <w:snapToGrid w:val="0"/>
      <w:spacing w:before="80" w:after="80" w:line="240" w:lineRule="atLeast"/>
    </w:pPr>
    <w:rPr>
      <w:rFonts w:ascii="Calibri" w:hAnsi="Calibri" w:eastAsia="华文细黑" w:cs="Arial"/>
      <w:kern w:val="2"/>
      <w:sz w:val="24"/>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893</Words>
  <Characters>1054</Characters>
  <Lines>8</Lines>
  <Paragraphs>2</Paragraphs>
  <TotalTime>0</TotalTime>
  <ScaleCrop>false</ScaleCrop>
  <LinksUpToDate>false</LinksUpToDate>
  <CharactersWithSpaces>1061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2021-07-30T02:04:00Z</dcterms:created>
  <dc:creator>孙中浩</dc:creator>
  <cp:lastModifiedBy>A通道闸管理系统</cp:lastModifiedBy>
  <dcterms:modified xsi:type="dcterms:W3CDTF">2026-05-26T01:04:38Z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F087347EE7924DF3A9A7E127123E10C0_13</vt:lpwstr>
  </property>
  <property fmtid="{D5CDD505-2E9C-101B-9397-08002B2CF9AE}" pid="4" name="KSOTemplateDocerSaveRecord">
    <vt:lpwstr>eyJoZGlkIjoiNTk4ZWRiOTU2NTcwZTlkYzk1OWYxN2YzOTNlMTM1ODciLCJ1c2VySWQiOiI1MzA1NzM2NTgifQ==</vt:lpwstr>
  </property>
</Properties>
</file>