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37D19D">
      <w:pPr>
        <w:rPr>
          <w:rFonts w:hint="eastAsia" w:ascii="微软雅黑" w:hAnsi="微软雅黑" w:eastAsia="微软雅黑"/>
          <w:b/>
          <w:color w:val="FFFFFF"/>
          <w:sz w:val="36"/>
          <w:szCs w:val="36"/>
          <w:lang w:val="en-US" w:eastAsia="zh-CN"/>
        </w:rPr>
      </w:pPr>
      <w:bookmarkStart w:id="0" w:name="_GoBack"/>
      <w:bookmarkEnd w:id="0"/>
      <w:r>
        <w:rPr>
          <w:rFonts w:ascii="Times New Roman" w:hAnsi="微软雅黑" w:eastAsia="微软雅黑"/>
          <w:b/>
          <w:color w:val="FFFFFF"/>
          <w:sz w:val="36"/>
          <w:szCs w:val="36"/>
        </w:rPr>
        <w:drawing>
          <wp:anchor distT="0" distB="0" distL="114300" distR="114300" simplePos="0" relativeHeight="251661312" behindDoc="1" locked="0" layoutInCell="1" allowOverlap="1">
            <wp:simplePos x="0" y="0"/>
            <wp:positionH relativeFrom="column">
              <wp:posOffset>-46990</wp:posOffset>
            </wp:positionH>
            <wp:positionV relativeFrom="paragraph">
              <wp:posOffset>36195</wp:posOffset>
            </wp:positionV>
            <wp:extent cx="2437130" cy="676275"/>
            <wp:effectExtent l="0" t="0" r="1270" b="9525"/>
            <wp:wrapNone/>
            <wp:docPr id="1" name="图片 1" descr="C:/Users/admin/Documents/ScreenShot_2026-05-15_220500_216.pngScreenShot_2026-05-15_220500_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Documents/ScreenShot_2026-05-15_220500_216.pngScreenShot_2026-05-15_220500_216"/>
                    <pic:cNvPicPr>
                      <a:picLocks noChangeAspect="1" noChangeArrowheads="1"/>
                    </pic:cNvPicPr>
                  </pic:nvPicPr>
                  <pic:blipFill>
                    <a:blip r:embed="rId6"/>
                    <a:srcRect t="547" b="547"/>
                    <a:stretch>
                      <a:fillRect/>
                    </a:stretch>
                  </pic:blipFill>
                  <pic:spPr>
                    <a:xfrm>
                      <a:off x="0" y="0"/>
                      <a:ext cx="2437130" cy="676275"/>
                    </a:xfrm>
                    <a:prstGeom prst="rect">
                      <a:avLst/>
                    </a:prstGeom>
                    <a:noFill/>
                    <a:ln>
                      <a:noFill/>
                    </a:ln>
                  </pic:spPr>
                </pic:pic>
              </a:graphicData>
            </a:graphic>
          </wp:anchor>
        </w:drawing>
      </w:r>
      <w:r>
        <w:rPr>
          <w:rFonts w:hint="eastAsia" w:ascii="Times New Roman" w:hAnsi="微软雅黑" w:eastAsia="微软雅黑" w:cs="Times New Roman"/>
          <w:b/>
          <w:color w:val="FFFFFF"/>
          <w:kern w:val="2"/>
          <w:sz w:val="36"/>
          <w:szCs w:val="36"/>
          <w:lang w:val="en-US" w:eastAsia="zh-CN" w:bidi="ar-SA"/>
        </w:rPr>
        <w:t>KMS-G6602</w:t>
      </w:r>
    </w:p>
    <w:p w14:paraId="7FE900D9">
      <w:pPr>
        <w:rPr>
          <w:rFonts w:hint="default" w:ascii="微软雅黑" w:hAnsi="微软雅黑" w:eastAsia="微软雅黑"/>
          <w:color w:val="FFFFFF"/>
          <w:sz w:val="18"/>
          <w:szCs w:val="21"/>
          <w:lang w:val="en-US" w:eastAsia="zh-CN"/>
        </w:rPr>
      </w:pPr>
      <w:r>
        <w:rPr>
          <w:rFonts w:hint="eastAsia" w:ascii="Times New Roman" w:hAnsi="微软雅黑" w:eastAsia="微软雅黑" w:cs="Times New Roman"/>
          <w:color w:val="FFFFFF"/>
          <w:kern w:val="2"/>
          <w:sz w:val="18"/>
          <w:szCs w:val="21"/>
          <w:lang w:val="en-US" w:eastAsia="zh-CN" w:bidi="ar-SA"/>
        </w:rPr>
        <w:t>Single-channel three-roll barrier gate</w:t>
      </w:r>
    </w:p>
    <w:p w14:paraId="3B842ECC">
      <w:pPr>
        <w:pStyle w:val="10"/>
        <w:ind w:firstLine="0" w:firstLineChars="0"/>
        <w:jc w:val="left"/>
        <w:outlineLvl w:val="0"/>
        <w:rPr>
          <w:rFonts w:ascii="Times New Roman" w:hAnsi="Times New Roman"/>
          <w:sz w:val="18"/>
          <w:szCs w:val="18"/>
        </w:rPr>
      </w:pPr>
      <w:r>
        <w:rPr>
          <w:rFonts w:ascii="微软雅黑" w:hAnsi="微软雅黑" w:eastAsia="微软雅黑"/>
          <w:b/>
          <w:color w:val="FFFFFF"/>
          <w:sz w:val="36"/>
          <w:szCs w:val="36"/>
        </w:rPr>
        <w:drawing>
          <wp:anchor distT="0" distB="0" distL="114300" distR="114300" simplePos="0" relativeHeight="251660288" behindDoc="0" locked="0" layoutInCell="1" allowOverlap="1">
            <wp:simplePos x="0" y="0"/>
            <wp:positionH relativeFrom="column">
              <wp:posOffset>3188335</wp:posOffset>
            </wp:positionH>
            <wp:positionV relativeFrom="paragraph">
              <wp:posOffset>146685</wp:posOffset>
            </wp:positionV>
            <wp:extent cx="2832735" cy="3711575"/>
            <wp:effectExtent l="0" t="0" r="0" b="0"/>
            <wp:wrapSquare wrapText="bothSides"/>
            <wp:docPr id="2" name="图片 2" descr="E:/科迈思智能/报价单/KeyShot 5/Renderings/产品图2026/三辊闸/KMS-G6602/KMS-G6602.1102.pngKMS-G6602.1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科迈思智能/报价单/KeyShot 5/Renderings/产品图2026/三辊闸/KMS-G6602/KMS-G6602.1102.pngKMS-G6602.1102"/>
                    <pic:cNvPicPr>
                      <a:picLocks noChangeAspect="1" noChangeArrowheads="1"/>
                    </pic:cNvPicPr>
                  </pic:nvPicPr>
                  <pic:blipFill>
                    <a:blip r:embed="rId7"/>
                    <a:srcRect l="18965" t="11074" r="23899" b="14095"/>
                    <a:stretch>
                      <a:fillRect/>
                    </a:stretch>
                  </pic:blipFill>
                  <pic:spPr>
                    <a:xfrm>
                      <a:off x="0" y="0"/>
                      <a:ext cx="2832735" cy="3711575"/>
                    </a:xfrm>
                    <a:prstGeom prst="rect">
                      <a:avLst/>
                    </a:prstGeom>
                    <a:noFill/>
                    <a:ln>
                      <a:noFill/>
                    </a:ln>
                  </pic:spPr>
                </pic:pic>
              </a:graphicData>
            </a:graphic>
          </wp:anchor>
        </w:drawing>
      </w:r>
      <w:r>
        <mc:AlternateContent>
          <mc:Choice Requires="wps">
            <w:drawing>
              <wp:anchor distT="45720" distB="45720" distL="114300" distR="114300" simplePos="0" relativeHeight="251659264" behindDoc="0" locked="0" layoutInCell="1" allowOverlap="1">
                <wp:simplePos x="0" y="0"/>
                <wp:positionH relativeFrom="column">
                  <wp:posOffset>3461385</wp:posOffset>
                </wp:positionH>
                <wp:positionV relativeFrom="paragraph">
                  <wp:posOffset>145415</wp:posOffset>
                </wp:positionV>
                <wp:extent cx="3140710" cy="2072640"/>
                <wp:effectExtent l="3810" t="2540" r="0" b="1270"/>
                <wp:wrapSquare wrapText="bothSides"/>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140710" cy="2072640"/>
                        </a:xfrm>
                        <a:prstGeom prst="rect">
                          <a:avLst/>
                        </a:prstGeom>
                        <a:solidFill>
                          <a:srgbClr val="FFFFFF"/>
                        </a:solidFill>
                        <a:ln>
                          <a:noFill/>
                        </a:ln>
                      </wps:spPr>
                      <wps:txbx>
                        <w:txbxContent>
                          <w:p w14:paraId="03652CEC"/>
                        </w:txbxContent>
                      </wps:txbx>
                      <wps:bodyPr rot="0" vert="horz" wrap="non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72.55pt;margin-top:11.45pt;height:163.2pt;width:247.3pt;mso-wrap-distance-bottom:3.6pt;mso-wrap-distance-left:9pt;mso-wrap-distance-right:9pt;mso-wrap-distance-top:3.6pt;mso-wrap-style:none;z-index:251659264;mso-width-relative:page;mso-height-relative:margin;mso-height-percent:200;" fillcolor="#FFFFFF" filled="t" stroked="f" coordsize="21600,21600" o:gfxdata="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HlGrdgAAAALAQAADwAAAAAAAAABACAAAAAiAAAAZHJzL2Rvd25yZXYueG1sUEsBAhQAFAAA&#10;AAgAh07iQK884OcoAgAAPQQAAA4AAAAAAAAAAQAgAAAAJwEAAGRycy9lMm9Eb2MueG1sUEsFBgAA&#10;AAAGAAYAWQEAAMEFAAAAAA==&#10;">
                <v:fill on="t" focussize="0,0"/>
                <v:stroke on="f"/>
                <v:imagedata o:title=""/>
                <o:lock v:ext="edit" aspectratio="f"/>
                <v:textbox style="mso-fit-shape-to-text:t;">
                  <w:txbxContent>
                    <w:p w14:paraId="03652CEC"/>
                  </w:txbxContent>
                </v:textbox>
                <w10:wrap type="square"/>
              </v:shape>
            </w:pict>
          </mc:Fallback>
        </mc:AlternateContent>
      </w:r>
    </w:p>
    <w:p w14:paraId="725F4C58">
      <w:pPr>
        <w:ind w:right="460" w:rightChars="219"/>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KMS-G6602 is designed for strictly regulated areas, effectively preventing unauthorized personnel tracking. When individuals pass through the turnstile, access-controlled turnstiles can deny entry to unauthorized persons; if permission is granted, the turnstile automatically releases them. It is widely used for access control at basketball arenas, gyms, tourist attractions, amusement parks, construction sites, factories, residential communities, campuses, and other venues.</w:t>
      </w:r>
    </w:p>
    <w:p w14:paraId="012632AC">
      <w:pPr>
        <w:rPr>
          <w:rFonts w:hint="eastAsia" w:ascii="宋体" w:hAnsi="宋体" w:eastAsia="宋体" w:cs="Arial"/>
          <w:spacing w:val="-7"/>
          <w:sz w:val="18"/>
          <w:szCs w:val="18"/>
          <w:lang w:eastAsia="zh-CN"/>
        </w:rPr>
      </w:pPr>
      <w:r>
        <w:rPr>
          <w:rFonts w:hint="eastAsia" w:ascii="Times New Roman" w:hAnsi="宋体" w:eastAsia="微软雅黑" w:cs="Times New Roman"/>
          <w:kern w:val="2"/>
          <w:sz w:val="18"/>
          <w:szCs w:val="18"/>
          <w:lang w:val="en-US" w:eastAsia="zh-CN" w:bidi="ar-SA"/>
        </w:rPr>
        <w:t xml:space="preserve"> </w:t>
      </w:r>
    </w:p>
    <w:p w14:paraId="4A10A6CD">
      <w:pPr>
        <w:rPr>
          <w:sz w:val="18"/>
          <w:szCs w:val="18"/>
        </w:rPr>
      </w:pPr>
    </w:p>
    <w:p w14:paraId="2D7F9FDD">
      <w:pPr>
        <w:rPr>
          <w:b/>
          <w:sz w:val="24"/>
          <w:shd w:val="pct10" w:color="auto" w:fill="FFFFFF"/>
        </w:rPr>
      </w:pPr>
    </w:p>
    <w:p w14:paraId="470358F6">
      <w:pPr>
        <w:rPr>
          <w:rFonts w:hint="eastAsia" w:ascii="宋体" w:hAnsi="宋体" w:cs="宋体"/>
          <w:b/>
          <w:bCs/>
          <w:sz w:val="24"/>
          <w:szCs w:val="24"/>
          <w:lang w:val="en-US" w:eastAsia="zh-CN"/>
        </w:rPr>
      </w:pPr>
    </w:p>
    <w:p w14:paraId="1D889941">
      <w:pPr>
        <w:rPr>
          <w:rFonts w:hint="eastAsia" w:ascii="宋体" w:hAnsi="宋体" w:cs="宋体"/>
          <w:b/>
          <w:bCs/>
          <w:sz w:val="24"/>
          <w:szCs w:val="24"/>
          <w:lang w:val="en-US" w:eastAsia="zh-CN"/>
        </w:rPr>
      </w:pPr>
    </w:p>
    <w:p w14:paraId="14E49857">
      <w:pPr>
        <w:rPr>
          <w:rFonts w:hint="eastAsia" w:ascii="宋体" w:hAnsi="宋体" w:cs="宋体"/>
          <w:b/>
          <w:bCs/>
          <w:sz w:val="24"/>
          <w:szCs w:val="24"/>
          <w:lang w:val="en-US" w:eastAsia="zh-CN"/>
        </w:rPr>
      </w:pPr>
    </w:p>
    <w:p w14:paraId="252A75C2">
      <w:pPr>
        <w:rPr>
          <w:rFonts w:hint="eastAsia" w:ascii="宋体" w:hAnsi="宋体" w:cs="宋体"/>
          <w:b/>
          <w:bCs/>
          <w:sz w:val="24"/>
          <w:szCs w:val="24"/>
          <w:lang w:val="en-US" w:eastAsia="zh-CN"/>
        </w:rPr>
      </w:pPr>
    </w:p>
    <w:p w14:paraId="1475EDE7">
      <w:pPr>
        <w:rPr>
          <w:rFonts w:hint="eastAsia" w:ascii="宋体" w:hAnsi="宋体" w:cs="宋体"/>
          <w:b/>
          <w:bCs/>
          <w:sz w:val="24"/>
          <w:szCs w:val="24"/>
          <w:lang w:val="en-US" w:eastAsia="zh-CN"/>
        </w:rPr>
      </w:pPr>
    </w:p>
    <w:p w14:paraId="31A0EBC8">
      <w:pPr>
        <w:rPr>
          <w:rFonts w:hint="eastAsia" w:ascii="宋体" w:hAnsi="宋体" w:cs="宋体"/>
          <w:b/>
          <w:bCs/>
          <w:sz w:val="24"/>
          <w:szCs w:val="24"/>
          <w:lang w:val="en-US" w:eastAsia="zh-CN"/>
        </w:rPr>
      </w:pPr>
    </w:p>
    <w:p w14:paraId="790622CF">
      <w:pPr>
        <w:rPr>
          <w:rFonts w:hint="eastAsia" w:ascii="宋体" w:hAnsi="宋体" w:cs="宋体"/>
          <w:b/>
          <w:bCs/>
          <w:sz w:val="24"/>
          <w:szCs w:val="24"/>
          <w:lang w:val="en-US" w:eastAsia="zh-CN"/>
        </w:rPr>
      </w:pPr>
    </w:p>
    <w:p w14:paraId="519A096D">
      <w:pPr>
        <w:rPr>
          <w:rFonts w:hint="eastAsia" w:ascii="宋体" w:hAnsi="宋体" w:cs="宋体"/>
          <w:b/>
          <w:bCs/>
          <w:sz w:val="24"/>
          <w:szCs w:val="24"/>
          <w:lang w:val="en-US" w:eastAsia="zh-CN"/>
        </w:rPr>
      </w:pPr>
    </w:p>
    <w:p w14:paraId="5D89DF53">
      <w:pPr>
        <w:rPr>
          <w:rFonts w:hint="eastAsia" w:ascii="宋体" w:hAnsi="宋体" w:cs="宋体"/>
          <w:b/>
          <w:bCs/>
          <w:sz w:val="24"/>
          <w:szCs w:val="24"/>
          <w:lang w:val="en-US" w:eastAsia="zh-CN"/>
        </w:rPr>
      </w:pPr>
    </w:p>
    <w:p w14:paraId="26143AE7">
      <w:pPr>
        <w:rPr>
          <w:rFonts w:hint="eastAsia" w:ascii="宋体" w:hAnsi="宋体" w:cs="宋体"/>
          <w:b/>
          <w:bCs/>
          <w:sz w:val="24"/>
          <w:szCs w:val="24"/>
          <w:lang w:val="en-US" w:eastAsia="zh-CN"/>
        </w:rPr>
      </w:pPr>
    </w:p>
    <w:p w14:paraId="070B6B65">
      <w:pPr>
        <w:rPr>
          <w:rFonts w:hint="eastAsia" w:ascii="宋体" w:hAnsi="宋体" w:cs="宋体"/>
          <w:b/>
          <w:bCs/>
          <w:sz w:val="24"/>
          <w:szCs w:val="24"/>
          <w:lang w:val="en-US" w:eastAsia="zh-CN"/>
        </w:rPr>
      </w:pPr>
    </w:p>
    <w:p w14:paraId="3158EAB4">
      <w:pPr>
        <w:rPr>
          <w:rFonts w:hint="eastAsia" w:ascii="宋体" w:hAnsi="宋体" w:cs="宋体"/>
          <w:b/>
          <w:bCs/>
          <w:sz w:val="24"/>
          <w:szCs w:val="24"/>
          <w:lang w:val="en-US" w:eastAsia="zh-CN"/>
        </w:rPr>
      </w:pPr>
    </w:p>
    <w:p w14:paraId="7BDD826A">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Order model:</w:t>
      </w:r>
    </w:p>
    <w:p w14:paraId="5F8F8BDA">
      <w:pPr>
        <w:rPr>
          <w:rFonts w:hint="default" w:ascii="宋体" w:hAnsi="宋体" w:cs="宋体"/>
          <w:b/>
          <w:bCs/>
          <w:sz w:val="24"/>
          <w:szCs w:val="24"/>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04"/>
        <w:gridCol w:w="3618"/>
      </w:tblGrid>
      <w:tr w14:paraId="675FE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7C304BF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model</w:t>
            </w:r>
          </w:p>
        </w:tc>
        <w:tc>
          <w:tcPr>
            <w:tcW w:w="1404" w:type="dxa"/>
          </w:tcPr>
          <w:p w14:paraId="31FE0D38">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Material Code</w:t>
            </w:r>
          </w:p>
        </w:tc>
        <w:tc>
          <w:tcPr>
            <w:tcW w:w="3618" w:type="dxa"/>
          </w:tcPr>
          <w:p w14:paraId="796EEE5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remarks</w:t>
            </w:r>
          </w:p>
        </w:tc>
      </w:tr>
      <w:tr w14:paraId="43F7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4D188EE2">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KMS-G6602-120/Pg-Dm55</w:t>
            </w:r>
          </w:p>
        </w:tc>
        <w:tc>
          <w:tcPr>
            <w:tcW w:w="1404" w:type="dxa"/>
          </w:tcPr>
          <w:p w14:paraId="213DDD1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202600493</w:t>
            </w:r>
          </w:p>
        </w:tc>
        <w:tc>
          <w:tcPr>
            <w:tcW w:w="3618" w:type="dxa"/>
          </w:tcPr>
          <w:p w14:paraId="356C076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The facial device requires a separate accessory.</w:t>
            </w:r>
          </w:p>
        </w:tc>
      </w:tr>
      <w:tr w14:paraId="7EB8B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47" w:type="dxa"/>
          </w:tcPr>
          <w:p w14:paraId="5191F2CC">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KMS-G6602-120/M-Dm55-I</w:t>
            </w:r>
          </w:p>
        </w:tc>
        <w:tc>
          <w:tcPr>
            <w:tcW w:w="1404" w:type="dxa"/>
          </w:tcPr>
          <w:p w14:paraId="6F44330E">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202600494</w:t>
            </w:r>
          </w:p>
        </w:tc>
        <w:tc>
          <w:tcPr>
            <w:tcW w:w="3618" w:type="dxa"/>
          </w:tcPr>
          <w:p w14:paraId="2311E277">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IC card reader with built-in 2602X-AI motherboard and card reader kit</w:t>
            </w:r>
          </w:p>
        </w:tc>
      </w:tr>
    </w:tbl>
    <w:p w14:paraId="5E07DB07">
      <w:pPr>
        <w:rPr>
          <w:rFonts w:hint="eastAsia" w:ascii="宋体" w:hAnsi="宋体" w:cs="宋体"/>
          <w:b/>
          <w:bCs/>
          <w:sz w:val="24"/>
          <w:szCs w:val="24"/>
          <w:lang w:val="en-US" w:eastAsia="zh-CN"/>
        </w:rPr>
      </w:pPr>
    </w:p>
    <w:p w14:paraId="0D87B778">
      <w:pPr>
        <w:rPr>
          <w:rFonts w:hint="eastAsia" w:ascii="宋体" w:hAnsi="宋体" w:cs="宋体"/>
          <w:b/>
          <w:bCs/>
          <w:sz w:val="24"/>
          <w:szCs w:val="24"/>
          <w:lang w:val="en-US" w:eastAsia="zh-CN"/>
        </w:rPr>
      </w:pPr>
    </w:p>
    <w:p w14:paraId="49F0B165">
      <w:pPr>
        <w:rPr>
          <w:rFonts w:hint="eastAsia" w:ascii="宋体" w:hAnsi="宋体" w:cs="宋体"/>
          <w:b/>
          <w:bCs/>
          <w:sz w:val="24"/>
          <w:szCs w:val="24"/>
          <w:lang w:val="en-US" w:eastAsia="zh-CN"/>
        </w:rPr>
      </w:pPr>
    </w:p>
    <w:p w14:paraId="7A420E5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features ：</w:t>
      </w:r>
    </w:p>
    <w:p w14:paraId="1FF4D3CB">
      <w:pPr>
        <w:rPr>
          <w:b/>
          <w:sz w:val="24"/>
          <w:shd w:val="pct10" w:color="auto" w:fill="FFFFFF"/>
        </w:rPr>
      </w:pPr>
    </w:p>
    <w:p w14:paraId="61AF3805">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movement features a unique mechanical structure, with a rational and reliable design that produces low noise, ensures smooth operation, and offers a long service life.</w:t>
      </w:r>
    </w:p>
    <w:p w14:paraId="0B9A566D">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bidirectional passage capability, with the gate rod steering available in both two-way and one-way configurations.</w:t>
      </w:r>
    </w:p>
    <w:p w14:paraId="69497DB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After a power outage, the door unlocks automatically and switches to mechanical mode, allowing personnel to enter and exit freely while meeting fire safety requirements.</w:t>
      </w:r>
    </w:p>
    <w:p w14:paraId="75797B7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 bidirectional arrow indicator shows the traffic status.</w:t>
      </w:r>
    </w:p>
    <w:p w14:paraId="5B0FF3F9">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an automatic reset function: once permission to pass through the gate is granted, if the user fails to pass within the specified time, the full-height gate automatically cancels the permission and returns to its initial state.</w:t>
      </w:r>
    </w:p>
    <w:p w14:paraId="69C2A207">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Waterproof, sun-resistant, cold-resistant, and heat-resistant.</w:t>
      </w:r>
    </w:p>
    <w:p w14:paraId="55C24EE4">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can be expanded into an automated identity recognition system, enabling functions such as access control and attendance management.</w:t>
      </w:r>
    </w:p>
    <w:p w14:paraId="4FD034C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Support memory modes, such as swiping the valid card five times and passing through five people.</w:t>
      </w:r>
    </w:p>
    <w:p w14:paraId="2001A7B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passage delay time can be adjusted via the dial code.</w:t>
      </w:r>
    </w:p>
    <w:p w14:paraId="5A556917">
      <w:pPr>
        <w:pStyle w:val="10"/>
        <w:ind w:firstLine="0" w:firstLineChars="0"/>
        <w:jc w:val="left"/>
        <w:rPr>
          <w:rFonts w:ascii="宋体" w:hAnsi="宋体"/>
          <w:sz w:val="18"/>
          <w:szCs w:val="15"/>
        </w:rPr>
      </w:pPr>
    </w:p>
    <w:p w14:paraId="3D81D17C">
      <w:pPr>
        <w:rPr>
          <w:b/>
          <w:sz w:val="24"/>
          <w:shd w:val="pct10" w:color="auto" w:fill="FFFFFF"/>
        </w:rPr>
      </w:pPr>
      <w:r>
        <w:rPr>
          <w:rFonts w:hint="eastAsia" w:ascii="Times New Roman" w:hAnsi="宋体" w:eastAsia="微软雅黑" w:cs="宋体"/>
          <w:b/>
          <w:bCs/>
          <w:kern w:val="2"/>
          <w:sz w:val="24"/>
          <w:szCs w:val="24"/>
          <w:lang w:val="en-US" w:eastAsia="zh-CN" w:bidi="ar-SA"/>
        </w:rPr>
        <w:t>technical parameter ：</w:t>
      </w:r>
    </w:p>
    <w:tbl>
      <w:tblPr>
        <w:tblStyle w:val="5"/>
        <w:tblW w:w="7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4922"/>
      </w:tblGrid>
      <w:tr w14:paraId="1C59E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20C72BC">
            <w:pPr>
              <w:widowControl/>
              <w:jc w:val="left"/>
              <w:rPr>
                <w:rFonts w:hint="eastAsia" w:ascii="宋体" w:hAnsi="宋体" w:eastAsia="宋体" w:cs="宋体"/>
                <w:b/>
                <w:bCs/>
                <w:kern w:val="0"/>
                <w:sz w:val="18"/>
                <w:szCs w:val="18"/>
                <w:lang w:eastAsia="zh-CN"/>
              </w:rPr>
            </w:pPr>
            <w:r>
              <w:rPr>
                <w:rFonts w:hint="eastAsia" w:ascii="Times New Roman" w:hAnsi="宋体" w:eastAsia="微软雅黑" w:cs="宋体"/>
                <w:b/>
                <w:bCs/>
                <w:kern w:val="0"/>
                <w:sz w:val="18"/>
                <w:szCs w:val="18"/>
                <w:lang w:val="en-US" w:eastAsia="zh-CN" w:bidi="ar-SA"/>
              </w:rPr>
              <w:t>product model</w:t>
            </w:r>
          </w:p>
        </w:tc>
        <w:tc>
          <w:tcPr>
            <w:tcW w:w="4922" w:type="dxa"/>
            <w:shd w:val="clear" w:color="auto" w:fill="auto"/>
            <w:vAlign w:val="center"/>
          </w:tcPr>
          <w:p w14:paraId="44732614">
            <w:pPr>
              <w:widowControl/>
              <w:jc w:val="left"/>
              <w:rPr>
                <w:rFonts w:hint="default" w:ascii="宋体" w:hAnsi="宋体"/>
                <w:b/>
                <w:kern w:val="0"/>
                <w:sz w:val="18"/>
                <w:szCs w:val="18"/>
                <w:lang w:val="en-US"/>
              </w:rPr>
            </w:pPr>
            <w:r>
              <w:rPr>
                <w:rFonts w:hint="eastAsia" w:ascii="Times New Roman" w:hAnsi="宋体" w:eastAsia="微软雅黑" w:cs="Times New Roman"/>
                <w:kern w:val="2"/>
                <w:sz w:val="18"/>
                <w:szCs w:val="15"/>
                <w:lang w:val="en-US" w:eastAsia="zh-CN" w:bidi="ar-SA"/>
              </w:rPr>
              <w:t>KMS-G6602</w:t>
            </w:r>
          </w:p>
        </w:tc>
      </w:tr>
      <w:tr w14:paraId="36D7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C4C9207">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physical interface</w:t>
            </w:r>
          </w:p>
        </w:tc>
        <w:tc>
          <w:tcPr>
            <w:tcW w:w="4922" w:type="dxa"/>
            <w:shd w:val="clear" w:color="auto" w:fill="auto"/>
            <w:vAlign w:val="center"/>
          </w:tcPr>
          <w:p w14:paraId="4C4A354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I/O,RS485</w:t>
            </w:r>
          </w:p>
        </w:tc>
      </w:tr>
      <w:tr w14:paraId="7B76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9FEF93C">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Passage Rate</w:t>
            </w:r>
          </w:p>
        </w:tc>
        <w:tc>
          <w:tcPr>
            <w:tcW w:w="4922" w:type="dxa"/>
            <w:shd w:val="clear" w:color="auto" w:fill="auto"/>
            <w:vAlign w:val="center"/>
          </w:tcPr>
          <w:p w14:paraId="7AD588E8">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30 people per minute; the actual throughput rate is influenced by personnel availability and traffic patterns.</w:t>
            </w:r>
          </w:p>
        </w:tc>
      </w:tr>
      <w:tr w14:paraId="1EEC7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6365E6B5">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Channel width</w:t>
            </w:r>
          </w:p>
        </w:tc>
        <w:tc>
          <w:tcPr>
            <w:tcW w:w="4922" w:type="dxa"/>
            <w:shd w:val="clear" w:color="auto" w:fill="auto"/>
            <w:vAlign w:val="center"/>
          </w:tcPr>
          <w:p w14:paraId="56F09CDD">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550-600mm</w:t>
            </w:r>
          </w:p>
        </w:tc>
      </w:tr>
      <w:tr w14:paraId="21B83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EF5630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Single rotation angle</w:t>
            </w:r>
          </w:p>
        </w:tc>
        <w:tc>
          <w:tcPr>
            <w:tcW w:w="4922" w:type="dxa"/>
            <w:shd w:val="clear" w:color="auto" w:fill="auto"/>
            <w:vAlign w:val="center"/>
          </w:tcPr>
          <w:p w14:paraId="28DC71C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120°</w:t>
            </w:r>
          </w:p>
        </w:tc>
      </w:tr>
      <w:tr w14:paraId="6976F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399A63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Door panel material</w:t>
            </w:r>
          </w:p>
        </w:tc>
        <w:tc>
          <w:tcPr>
            <w:tcW w:w="4922" w:type="dxa"/>
            <w:shd w:val="clear" w:color="auto" w:fill="auto"/>
            <w:vAlign w:val="center"/>
          </w:tcPr>
          <w:p w14:paraId="531F4F85">
            <w:pPr>
              <w:widowControl/>
              <w:jc w:val="left"/>
              <w:rPr>
                <w:rFonts w:hint="default" w:ascii="宋体" w:hAnsi="宋体" w:eastAsia="宋体"/>
                <w:kern w:val="0"/>
                <w:sz w:val="18"/>
                <w:szCs w:val="18"/>
                <w:highlight w:val="yellow"/>
                <w:lang w:val="en-US" w:eastAsia="zh-CN"/>
              </w:rPr>
            </w:pPr>
            <w:r>
              <w:rPr>
                <w:rFonts w:hint="eastAsia" w:ascii="Times New Roman" w:hAnsi="宋体" w:eastAsia="微软雅黑" w:cs="Times New Roman"/>
                <w:kern w:val="0"/>
                <w:sz w:val="18"/>
                <w:szCs w:val="18"/>
                <w:lang w:val="en-US" w:eastAsia="zh-CN" w:bidi="ar-SA"/>
              </w:rPr>
              <w:t>304 stainless steel / 201 stainless steel, painted</w:t>
            </w:r>
          </w:p>
        </w:tc>
      </w:tr>
      <w:tr w14:paraId="6BCEC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0038AE9F">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Channel Box Body</w:t>
            </w:r>
          </w:p>
        </w:tc>
        <w:tc>
          <w:tcPr>
            <w:tcW w:w="4922" w:type="dxa"/>
            <w:shd w:val="clear" w:color="auto" w:fill="auto"/>
            <w:vAlign w:val="center"/>
          </w:tcPr>
          <w:p w14:paraId="59897F41">
            <w:pPr>
              <w:widowControl/>
              <w:jc w:val="left"/>
              <w:rPr>
                <w:rFonts w:hint="eastAsia" w:ascii="宋体" w:hAnsi="宋体" w:eastAsia="宋体"/>
                <w:kern w:val="0"/>
                <w:sz w:val="18"/>
                <w:szCs w:val="18"/>
                <w:highlight w:val="yellow"/>
                <w:lang w:eastAsia="zh-CN"/>
              </w:rPr>
            </w:pPr>
            <w:r>
              <w:rPr>
                <w:rFonts w:hint="eastAsia" w:ascii="Times New Roman" w:hAnsi="宋体" w:eastAsia="微软雅黑" w:cs="Times New Roman"/>
                <w:kern w:val="0"/>
                <w:sz w:val="18"/>
                <w:szCs w:val="18"/>
                <w:lang w:val="en-US" w:eastAsia="zh-CN" w:bidi="ar-SA"/>
              </w:rPr>
              <w:t>SUS304 stainless steel/stainless steel 201 painted; wall thickness: 1.2 mm; 38mm steel pipe</w:t>
            </w:r>
          </w:p>
        </w:tc>
      </w:tr>
      <w:tr w14:paraId="4130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7A6C89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size</w:t>
            </w:r>
          </w:p>
        </w:tc>
        <w:tc>
          <w:tcPr>
            <w:tcW w:w="4922" w:type="dxa"/>
            <w:shd w:val="clear" w:color="auto" w:fill="auto"/>
            <w:vAlign w:val="center"/>
          </w:tcPr>
          <w:p w14:paraId="3AA4076D">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1500mm*230*1000mm</w:t>
            </w:r>
          </w:p>
        </w:tc>
      </w:tr>
      <w:tr w14:paraId="51DD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2C4D000">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input voltage</w:t>
            </w:r>
          </w:p>
        </w:tc>
        <w:tc>
          <w:tcPr>
            <w:tcW w:w="4922" w:type="dxa"/>
            <w:shd w:val="clear" w:color="auto" w:fill="auto"/>
            <w:vAlign w:val="center"/>
          </w:tcPr>
          <w:p w14:paraId="4E8544EA">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220V±10%</w:t>
            </w:r>
          </w:p>
        </w:tc>
      </w:tr>
      <w:tr w14:paraId="2451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E7EA719">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temperature</w:t>
            </w:r>
          </w:p>
        </w:tc>
        <w:tc>
          <w:tcPr>
            <w:tcW w:w="4922" w:type="dxa"/>
            <w:shd w:val="clear" w:color="auto" w:fill="auto"/>
            <w:vAlign w:val="center"/>
          </w:tcPr>
          <w:p w14:paraId="3F9939F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-20℃~65℃</w:t>
            </w:r>
          </w:p>
        </w:tc>
      </w:tr>
      <w:tr w14:paraId="2546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AD00318">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humidity</w:t>
            </w:r>
          </w:p>
        </w:tc>
        <w:tc>
          <w:tcPr>
            <w:tcW w:w="4922" w:type="dxa"/>
            <w:shd w:val="clear" w:color="auto" w:fill="auto"/>
            <w:vAlign w:val="center"/>
          </w:tcPr>
          <w:p w14:paraId="453BCB9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10%-95% (in the absence of condensed water droplets)</w:t>
            </w:r>
          </w:p>
        </w:tc>
      </w:tr>
      <w:tr w14:paraId="780E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5250ABB">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 environment</w:t>
            </w:r>
          </w:p>
        </w:tc>
        <w:tc>
          <w:tcPr>
            <w:tcW w:w="4922" w:type="dxa"/>
            <w:shd w:val="clear" w:color="auto" w:fill="auto"/>
            <w:vAlign w:val="center"/>
          </w:tcPr>
          <w:p w14:paraId="7C657AA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Indoor and outdoor</w:t>
            </w:r>
          </w:p>
        </w:tc>
      </w:tr>
      <w:tr w14:paraId="5CE25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9AE2F1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plant capacity</w:t>
            </w:r>
          </w:p>
        </w:tc>
        <w:tc>
          <w:tcPr>
            <w:tcW w:w="4922" w:type="dxa"/>
            <w:shd w:val="clear" w:color="auto" w:fill="auto"/>
            <w:vAlign w:val="center"/>
          </w:tcPr>
          <w:p w14:paraId="576AF72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50W</w:t>
            </w:r>
          </w:p>
        </w:tc>
      </w:tr>
    </w:tbl>
    <w:p w14:paraId="57BC9B26">
      <w:pPr>
        <w:pStyle w:val="12"/>
        <w:numPr>
          <w:ilvl w:val="0"/>
          <w:numId w:val="0"/>
        </w:numPr>
      </w:pPr>
    </w:p>
    <w:p w14:paraId="71682DFB">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size ：</w:t>
      </w:r>
    </w:p>
    <w:p w14:paraId="0C90BA4F">
      <w:pPr>
        <w:ind w:firstLine="105" w:firstLineChars="50"/>
        <w:rPr>
          <w:b/>
          <w:sz w:val="24"/>
          <w:shd w:val="pct10" w:color="auto" w:fill="FFFFFF"/>
        </w:rPr>
      </w:pPr>
      <w:r>
        <w:drawing>
          <wp:inline distT="0" distB="0" distL="114300" distR="114300">
            <wp:extent cx="5098415" cy="5273040"/>
            <wp:effectExtent l="0" t="0" r="6985" b="10160"/>
            <wp:docPr id="7" name="图片 1" descr="E:/科迈思智能/报价单/KeyShot 5/Renderings/产品图2026/三辊闸/KMS-G6602/KMS-G6602.pngKMS-G6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E:/科迈思智能/报价单/KeyShot 5/Renderings/产品图2026/三辊闸/KMS-G6602/KMS-G6602.pngKMS-G6602"/>
                    <pic:cNvPicPr>
                      <a:picLocks noChangeAspect="1"/>
                    </pic:cNvPicPr>
                  </pic:nvPicPr>
                  <pic:blipFill>
                    <a:blip r:embed="rId8"/>
                    <a:srcRect l="8081" t="8570" r="6509" b="5000"/>
                    <a:stretch>
                      <a:fillRect/>
                    </a:stretch>
                  </pic:blipFill>
                  <pic:spPr>
                    <a:xfrm>
                      <a:off x="0" y="0"/>
                      <a:ext cx="5098415" cy="5273040"/>
                    </a:xfrm>
                    <a:prstGeom prst="rect">
                      <a:avLst/>
                    </a:prstGeom>
                    <a:noFill/>
                    <a:ln>
                      <a:noFill/>
                    </a:ln>
                  </pic:spPr>
                </pic:pic>
              </a:graphicData>
            </a:graphic>
          </wp:inline>
        </w:drawing>
      </w:r>
    </w:p>
    <w:p w14:paraId="2B70FB8D">
      <w:pPr>
        <w:pStyle w:val="12"/>
        <w:numPr>
          <w:ilvl w:val="0"/>
          <w:numId w:val="0"/>
        </w:numPr>
      </w:pPr>
    </w:p>
    <w:p w14:paraId="7CA9C967">
      <w:pPr>
        <w:rPr>
          <w:rFonts w:hint="eastAsia" w:ascii="宋体" w:hAnsi="宋体" w:cs="宋体"/>
          <w:b/>
          <w:bCs/>
          <w:sz w:val="24"/>
          <w:szCs w:val="24"/>
          <w:lang w:val="en-US" w:eastAsia="zh-CN"/>
        </w:rPr>
      </w:pPr>
    </w:p>
    <w:p w14:paraId="3B48612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matters need attention ：</w:t>
      </w:r>
    </w:p>
    <w:p w14:paraId="1DE4BF46">
      <w:pPr>
        <w:ind w:firstLine="120" w:firstLineChars="50"/>
        <w:rPr>
          <w:b/>
          <w:sz w:val="24"/>
          <w:shd w:val="pct10" w:color="auto" w:fill="FFFFFF"/>
        </w:rPr>
      </w:pPr>
    </w:p>
    <w:p w14:paraId="1130E257">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One of the primary components of pedestrian walkway products is stainless steel, which exhibits excellent corrosion resistance (ability to resist atmospheric oxidation) and resistance to corrosion in acidic, alkaline, or saline environments. However, its corrosion resistance varies depending on factors such as its chemical composition and operating conditions. To maintain the aesthetic appearance of stainless steel and extend its service life, regular maintenance is essential.</w:t>
      </w:r>
    </w:p>
    <w:p w14:paraId="7660728A">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maintenance precautions are as follows:</w:t>
      </w:r>
    </w:p>
    <w:p w14:paraId="25B6929E">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Different specifications of stainless steel should be selected depending on the operating environment. In general conditions, 304 stainless steel is suitable; for coastal areas or chemical plants, 316 stainless steel is recommended.</w:t>
      </w:r>
    </w:p>
    <w:p w14:paraId="58DA50A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Keep the product surface clean and dry.</w:t>
      </w:r>
    </w:p>
    <w:p w14:paraId="07A834BF">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contaminants appear on the product surface, they can be cleaned using non-woven fabric and alcohol.</w:t>
      </w:r>
    </w:p>
    <w:p w14:paraId="1A28318D">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rust spots appear on the product surface, use a cleaning cloth (never employ a wire scrub ball) to wipe back and forth along the grain lines of the rust until complete removal is achieved. Subsequently, apply a non-woven cloth and stainless steel maintenance agent for a thorough final clean.</w:t>
      </w:r>
    </w:p>
    <w:p w14:paraId="4D2D161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The entire turnstile should be regularly maintained by wiping with non-woven fabric and stainless steel cleaning agent. Under normal circumstances, maintenance is recommended once per month; in harsh environments (e.g., coastal areas or chemical plants), weekly maintenance is advised.</w:t>
      </w:r>
    </w:p>
    <w:sectPr>
      <w:headerReference r:id="rId3" w:type="default"/>
      <w:footerReference r:id="rId4" w:type="default"/>
      <w:pgSz w:w="11906" w:h="16838"/>
      <w:pgMar w:top="1340" w:right="1134" w:bottom="1134" w:left="1134" w:header="851" w:footer="1176"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DA54">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For more contact information and product details, please visit the official website of KMSZN: https://www.kmszn.cn/</w:t>
    </w:r>
  </w:p>
  <w:p w14:paraId="00BE2D43">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AAB60">
    <w:pPr>
      <w:pStyle w:val="4"/>
      <w:jc w:val="right"/>
      <w:rPr>
        <w:rFonts w:hint="eastAsia" w:eastAsia="宋体"/>
        <w:lang w:eastAsia="zh-CN"/>
      </w:rPr>
    </w:pPr>
    <w:r>
      <w:rPr>
        <w:rFonts w:hint="eastAsia" w:eastAsia="宋体"/>
        <w:lang w:eastAsia="zh-CN"/>
      </w:rPr>
      <w:drawing>
        <wp:inline distT="0" distB="0" distL="114300" distR="114300">
          <wp:extent cx="1239520" cy="325120"/>
          <wp:effectExtent l="0" t="0" r="5080" b="4445"/>
          <wp:docPr id="6" name="图片 6"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KEMSI2"/>
                  <pic:cNvPicPr>
                    <a:picLocks noChangeAspect="1"/>
                  </pic:cNvPicPr>
                </pic:nvPicPr>
                <pic:blipFill>
                  <a:blip r:embed="rId1"/>
                  <a:stretch>
                    <a:fillRect/>
                  </a:stretch>
                </pic:blipFill>
                <pic:spPr>
                  <a:xfrm>
                    <a:off x="0" y="0"/>
                    <a:ext cx="1239520" cy="3251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5"/>
    <w:multiLevelType w:val="multilevel"/>
    <w:tmpl w:val="00000015"/>
    <w:lvl w:ilvl="0" w:tentative="0">
      <w:start w:val="1"/>
      <w:numFmt w:val="bullet"/>
      <w:pStyle w:val="12"/>
      <w:lvlText w:val=""/>
      <w:lvlJc w:val="left"/>
      <w:pPr>
        <w:ind w:left="360" w:hanging="360"/>
      </w:pPr>
      <w:rPr>
        <w:rFonts w:hint="default" w:ascii="Wingdings" w:hAnsi="Wingdings"/>
        <w:b w:val="0"/>
        <w:bCs w:val="0"/>
        <w:i w:val="0"/>
        <w:iCs w:val="0"/>
        <w:caps w:val="0"/>
        <w:strike w:val="0"/>
        <w:dstrike w:val="0"/>
        <w:vanish w:val="0"/>
        <w:color w:val="000000"/>
        <w:spacing w:val="0"/>
        <w:w w:val="100"/>
        <w:position w:val="1"/>
        <w:sz w:val="24"/>
        <w:szCs w:val="18"/>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
    <w:nsid w:val="7C952A9E"/>
    <w:multiLevelType w:val="multilevel"/>
    <w:tmpl w:val="7C952A9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7F1D9802"/>
    <w:multiLevelType w:val="multilevel"/>
    <w:tmpl w:val="7F1D980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C13"/>
    <w:rsid w:val="00015D4E"/>
    <w:rsid w:val="00051B88"/>
    <w:rsid w:val="000C178F"/>
    <w:rsid w:val="000D35DD"/>
    <w:rsid w:val="00165EAC"/>
    <w:rsid w:val="001706D0"/>
    <w:rsid w:val="001D0A40"/>
    <w:rsid w:val="00285FC8"/>
    <w:rsid w:val="002F3F67"/>
    <w:rsid w:val="0031516A"/>
    <w:rsid w:val="003A1AC4"/>
    <w:rsid w:val="003F180B"/>
    <w:rsid w:val="00410C00"/>
    <w:rsid w:val="00423252"/>
    <w:rsid w:val="00443E76"/>
    <w:rsid w:val="00470EEE"/>
    <w:rsid w:val="004E2611"/>
    <w:rsid w:val="004E70E2"/>
    <w:rsid w:val="005F6B7E"/>
    <w:rsid w:val="006C12D2"/>
    <w:rsid w:val="007903AF"/>
    <w:rsid w:val="007A35C5"/>
    <w:rsid w:val="00810E49"/>
    <w:rsid w:val="0082414E"/>
    <w:rsid w:val="00854995"/>
    <w:rsid w:val="008A794F"/>
    <w:rsid w:val="008E36FE"/>
    <w:rsid w:val="009010FB"/>
    <w:rsid w:val="009036AA"/>
    <w:rsid w:val="00933A64"/>
    <w:rsid w:val="0099723F"/>
    <w:rsid w:val="009E2F35"/>
    <w:rsid w:val="00A2423A"/>
    <w:rsid w:val="00A331B5"/>
    <w:rsid w:val="00A55D67"/>
    <w:rsid w:val="00AC2B9C"/>
    <w:rsid w:val="00AC5348"/>
    <w:rsid w:val="00B17A72"/>
    <w:rsid w:val="00B43B53"/>
    <w:rsid w:val="00B84274"/>
    <w:rsid w:val="00BB704C"/>
    <w:rsid w:val="00C02305"/>
    <w:rsid w:val="00CD5C39"/>
    <w:rsid w:val="00CF1CEB"/>
    <w:rsid w:val="00D341C4"/>
    <w:rsid w:val="00D4583B"/>
    <w:rsid w:val="00D476A9"/>
    <w:rsid w:val="00DA00B0"/>
    <w:rsid w:val="00DA4F5C"/>
    <w:rsid w:val="00DA586E"/>
    <w:rsid w:val="00E14C13"/>
    <w:rsid w:val="00E8206B"/>
    <w:rsid w:val="00E953E6"/>
    <w:rsid w:val="00EA6819"/>
    <w:rsid w:val="00F10E4B"/>
    <w:rsid w:val="00F84847"/>
    <w:rsid w:val="01BC2A1E"/>
    <w:rsid w:val="01E87AB2"/>
    <w:rsid w:val="02355837"/>
    <w:rsid w:val="02EB774C"/>
    <w:rsid w:val="0583556D"/>
    <w:rsid w:val="08C01BD2"/>
    <w:rsid w:val="099F7A3A"/>
    <w:rsid w:val="0AAA48E8"/>
    <w:rsid w:val="0AC7549A"/>
    <w:rsid w:val="0AE20526"/>
    <w:rsid w:val="0AEA2F37"/>
    <w:rsid w:val="0B6A3464"/>
    <w:rsid w:val="0B937689"/>
    <w:rsid w:val="0BE9382F"/>
    <w:rsid w:val="0D1B1ACD"/>
    <w:rsid w:val="108300B5"/>
    <w:rsid w:val="108B389E"/>
    <w:rsid w:val="11DD3F74"/>
    <w:rsid w:val="16361726"/>
    <w:rsid w:val="18324C3F"/>
    <w:rsid w:val="19393A07"/>
    <w:rsid w:val="1C2F6749"/>
    <w:rsid w:val="1D81460A"/>
    <w:rsid w:val="1F20231F"/>
    <w:rsid w:val="1F486752"/>
    <w:rsid w:val="1F861028"/>
    <w:rsid w:val="210B2CE8"/>
    <w:rsid w:val="21BC6F83"/>
    <w:rsid w:val="21E8421C"/>
    <w:rsid w:val="22257114"/>
    <w:rsid w:val="22947F00"/>
    <w:rsid w:val="23AB3753"/>
    <w:rsid w:val="279F537D"/>
    <w:rsid w:val="27A42993"/>
    <w:rsid w:val="29A21154"/>
    <w:rsid w:val="2E6958EF"/>
    <w:rsid w:val="2F181B28"/>
    <w:rsid w:val="2FE654EF"/>
    <w:rsid w:val="318B1C70"/>
    <w:rsid w:val="31A041CB"/>
    <w:rsid w:val="32236BAB"/>
    <w:rsid w:val="32B545C0"/>
    <w:rsid w:val="341E3ACD"/>
    <w:rsid w:val="35AA386B"/>
    <w:rsid w:val="36370E76"/>
    <w:rsid w:val="394C5D3A"/>
    <w:rsid w:val="3A2F07E2"/>
    <w:rsid w:val="3A3E409C"/>
    <w:rsid w:val="3B5B73B5"/>
    <w:rsid w:val="3F253F62"/>
    <w:rsid w:val="3F9F3D14"/>
    <w:rsid w:val="40784565"/>
    <w:rsid w:val="408D1DBF"/>
    <w:rsid w:val="414F70AD"/>
    <w:rsid w:val="41932425"/>
    <w:rsid w:val="41B415CD"/>
    <w:rsid w:val="43394480"/>
    <w:rsid w:val="438A6A89"/>
    <w:rsid w:val="441B3B85"/>
    <w:rsid w:val="449000D0"/>
    <w:rsid w:val="464078D3"/>
    <w:rsid w:val="4768030F"/>
    <w:rsid w:val="478C7274"/>
    <w:rsid w:val="48711FC6"/>
    <w:rsid w:val="4968786D"/>
    <w:rsid w:val="49865D2D"/>
    <w:rsid w:val="49CC07F8"/>
    <w:rsid w:val="4A2D7D16"/>
    <w:rsid w:val="4E3221F7"/>
    <w:rsid w:val="4EA74993"/>
    <w:rsid w:val="53A92F5C"/>
    <w:rsid w:val="543E38D9"/>
    <w:rsid w:val="55AC7D6F"/>
    <w:rsid w:val="56875D97"/>
    <w:rsid w:val="5908689F"/>
    <w:rsid w:val="5A3F0E0C"/>
    <w:rsid w:val="5A6663BD"/>
    <w:rsid w:val="5ADE0A23"/>
    <w:rsid w:val="5C0B4D6A"/>
    <w:rsid w:val="5C235F5B"/>
    <w:rsid w:val="5D9D1696"/>
    <w:rsid w:val="5DCB6C20"/>
    <w:rsid w:val="5E544516"/>
    <w:rsid w:val="5F7C63E9"/>
    <w:rsid w:val="60E96A0A"/>
    <w:rsid w:val="635A009E"/>
    <w:rsid w:val="64020B82"/>
    <w:rsid w:val="6760172C"/>
    <w:rsid w:val="67672ABA"/>
    <w:rsid w:val="6808604B"/>
    <w:rsid w:val="680D5946"/>
    <w:rsid w:val="6A114F5F"/>
    <w:rsid w:val="6B1B42E7"/>
    <w:rsid w:val="6B2E6569"/>
    <w:rsid w:val="6B94466F"/>
    <w:rsid w:val="6D401DE3"/>
    <w:rsid w:val="6D943656"/>
    <w:rsid w:val="6E1F7C4B"/>
    <w:rsid w:val="6F383814"/>
    <w:rsid w:val="705067E1"/>
    <w:rsid w:val="732D4BB8"/>
    <w:rsid w:val="759058D2"/>
    <w:rsid w:val="77DE4604"/>
    <w:rsid w:val="77F32441"/>
    <w:rsid w:val="783E61D3"/>
    <w:rsid w:val="7C507B69"/>
    <w:rsid w:val="7EF92214"/>
    <w:rsid w:val="7FF62F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rPr>
      <w:rFonts w:ascii="Calibri" w:hAnsi="Calibri"/>
      <w:szCs w:val="22"/>
    </w:rPr>
  </w:style>
  <w:style w:type="character" w:customStyle="1" w:styleId="11">
    <w:name w:val="Item List 字符"/>
    <w:link w:val="12"/>
    <w:qFormat/>
    <w:uiPriority w:val="0"/>
    <w:rPr>
      <w:rFonts w:ascii="Calibri" w:hAnsi="Calibri" w:eastAsia="华文细黑" w:cs="Arial"/>
      <w:sz w:val="24"/>
      <w:szCs w:val="21"/>
    </w:rPr>
  </w:style>
  <w:style w:type="paragraph" w:customStyle="1" w:styleId="12">
    <w:name w:val="Item List"/>
    <w:link w:val="11"/>
    <w:qFormat/>
    <w:uiPriority w:val="0"/>
    <w:pPr>
      <w:numPr>
        <w:ilvl w:val="0"/>
        <w:numId w:val="1"/>
      </w:numPr>
      <w:adjustRightInd w:val="0"/>
      <w:snapToGrid w:val="0"/>
      <w:spacing w:before="80" w:after="80" w:line="240" w:lineRule="atLeast"/>
    </w:pPr>
    <w:rPr>
      <w:rFonts w:ascii="Calibri" w:hAnsi="Calibri" w:eastAsia="华文细黑" w:cs="Arial"/>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893</Words>
  <Characters>1054</Characters>
  <Lines>8</Lines>
  <Paragraphs>2</Paragraphs>
  <TotalTime>0</TotalTime>
  <ScaleCrop>false</ScaleCrop>
  <LinksUpToDate>false</LinksUpToDate>
  <CharactersWithSpaces>1061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2021-07-30T02:04:00Z</dcterms:created>
  <dc:creator>孙中浩</dc:creator>
  <cp:lastModifiedBy>A通道闸管理系统</cp:lastModifiedBy>
  <dcterms:modified xsi:type="dcterms:W3CDTF">2026-05-26T01:10:28Z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E4E46F8E64194D44B9A639BA3C67ED7F_13</vt:lpwstr>
  </property>
  <property fmtid="{D5CDD505-2E9C-101B-9397-08002B2CF9AE}" pid="4" name="KSOTemplateDocerSaveRecord">
    <vt:lpwstr>eyJoZGlkIjoiNTk4ZWRiOTU2NTcwZTlkYzk1OWYxN2YzOTNlMTM1ODciLCJ1c2VySWQiOiI1MzA1NzM2NTgifQ==</vt:lpwstr>
  </property>
</Properties>
</file>